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D62B1" w14:textId="77777777" w:rsidR="00160627" w:rsidRPr="004A0729" w:rsidRDefault="00160627">
      <w:pPr>
        <w:pStyle w:val="Corpodetexto"/>
        <w:spacing w:before="4"/>
        <w:rPr>
          <w:rFonts w:asciiTheme="minorHAnsi" w:hAnsiTheme="minorHAnsi" w:cstheme="minorHAnsi"/>
          <w:sz w:val="4"/>
        </w:rPr>
      </w:pPr>
    </w:p>
    <w:p w14:paraId="6B8FEDB3" w14:textId="77777777" w:rsidR="00160627" w:rsidRPr="004A0729" w:rsidRDefault="00000000" w:rsidP="00CC4668">
      <w:pPr>
        <w:pStyle w:val="Corpodetexto"/>
        <w:ind w:left="4678"/>
        <w:rPr>
          <w:rFonts w:asciiTheme="minorHAnsi" w:hAnsiTheme="minorHAnsi" w:cstheme="minorHAnsi"/>
          <w:sz w:val="20"/>
        </w:rPr>
      </w:pPr>
      <w:bookmarkStart w:id="0" w:name="Minuta_50_Documento_de_Formalização_de_D"/>
      <w:bookmarkEnd w:id="0"/>
      <w:r w:rsidRPr="004A0729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6FC5AA0" wp14:editId="6A2D5D33">
            <wp:extent cx="960120" cy="838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EDE39" w14:textId="375AF7B1" w:rsidR="00160627" w:rsidRPr="004A0729" w:rsidRDefault="00000000" w:rsidP="00CC4668">
      <w:pPr>
        <w:pStyle w:val="Ttulo1"/>
        <w:spacing w:before="60" w:line="291" w:lineRule="exact"/>
        <w:ind w:left="0"/>
        <w:rPr>
          <w:rFonts w:asciiTheme="minorHAnsi" w:hAnsiTheme="minorHAnsi" w:cstheme="minorHAnsi"/>
        </w:rPr>
      </w:pPr>
      <w:r w:rsidRPr="004A0729">
        <w:rPr>
          <w:rFonts w:asciiTheme="minorHAnsi" w:hAnsiTheme="minorHAnsi" w:cstheme="minorHAnsi"/>
        </w:rPr>
        <w:t>Prefeitura</w:t>
      </w:r>
      <w:r w:rsidRPr="004A0729">
        <w:rPr>
          <w:rFonts w:asciiTheme="minorHAnsi" w:hAnsiTheme="minorHAnsi" w:cstheme="minorHAnsi"/>
          <w:spacing w:val="-5"/>
        </w:rPr>
        <w:t xml:space="preserve"> </w:t>
      </w:r>
      <w:r w:rsidRPr="004A0729">
        <w:rPr>
          <w:rFonts w:asciiTheme="minorHAnsi" w:hAnsiTheme="minorHAnsi" w:cstheme="minorHAnsi"/>
        </w:rPr>
        <w:t>de</w:t>
      </w:r>
      <w:r w:rsidRPr="004A0729">
        <w:rPr>
          <w:rFonts w:asciiTheme="minorHAnsi" w:hAnsiTheme="minorHAnsi" w:cstheme="minorHAnsi"/>
          <w:spacing w:val="-4"/>
        </w:rPr>
        <w:t xml:space="preserve"> </w:t>
      </w:r>
      <w:r w:rsidRPr="004A0729">
        <w:rPr>
          <w:rFonts w:asciiTheme="minorHAnsi" w:hAnsiTheme="minorHAnsi" w:cstheme="minorHAnsi"/>
          <w:spacing w:val="-2"/>
        </w:rPr>
        <w:t>Goiânia</w:t>
      </w:r>
    </w:p>
    <w:p w14:paraId="0B5E4807" w14:textId="77777777" w:rsidR="00CC4668" w:rsidRDefault="00000000" w:rsidP="00CC4668">
      <w:pPr>
        <w:spacing w:before="2" w:line="235" w:lineRule="auto"/>
        <w:ind w:firstLine="14"/>
        <w:jc w:val="center"/>
        <w:rPr>
          <w:rFonts w:asciiTheme="minorHAnsi" w:hAnsiTheme="minorHAnsi" w:cstheme="minorHAnsi"/>
          <w:sz w:val="24"/>
        </w:rPr>
      </w:pPr>
      <w:r w:rsidRPr="004A0729">
        <w:rPr>
          <w:rFonts w:asciiTheme="minorHAnsi" w:hAnsiTheme="minorHAnsi" w:cstheme="minorHAnsi"/>
          <w:sz w:val="24"/>
        </w:rPr>
        <w:t>Secretaria Municipal de Administração</w:t>
      </w:r>
    </w:p>
    <w:p w14:paraId="68BFDD4A" w14:textId="5C8C3F1E" w:rsidR="00160627" w:rsidRDefault="00000000" w:rsidP="00CC4668">
      <w:pPr>
        <w:spacing w:before="2" w:line="235" w:lineRule="auto"/>
        <w:ind w:firstLine="14"/>
        <w:jc w:val="center"/>
        <w:rPr>
          <w:rFonts w:asciiTheme="minorHAnsi" w:hAnsiTheme="minorHAnsi" w:cstheme="minorHAnsi"/>
          <w:sz w:val="24"/>
        </w:rPr>
      </w:pPr>
      <w:r w:rsidRPr="004A0729">
        <w:rPr>
          <w:rFonts w:asciiTheme="minorHAnsi" w:hAnsiTheme="minorHAnsi" w:cstheme="minorHAnsi"/>
          <w:sz w:val="24"/>
        </w:rPr>
        <w:t>Superintendência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de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Licitação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e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Suprimentos</w:t>
      </w:r>
    </w:p>
    <w:p w14:paraId="28732025" w14:textId="77777777" w:rsidR="00CC4668" w:rsidRDefault="00CC4668" w:rsidP="00CC4668">
      <w:pPr>
        <w:spacing w:before="2" w:line="235" w:lineRule="auto"/>
        <w:ind w:firstLine="14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Diretoria de Compras e Licitações</w:t>
      </w:r>
    </w:p>
    <w:p w14:paraId="23993CA5" w14:textId="77777777" w:rsidR="00160627" w:rsidRPr="004A0729" w:rsidRDefault="00160627">
      <w:pPr>
        <w:pStyle w:val="Corpodetexto"/>
        <w:rPr>
          <w:rFonts w:asciiTheme="minorHAnsi" w:hAnsiTheme="minorHAnsi" w:cstheme="minorHAnsi"/>
          <w:sz w:val="20"/>
        </w:rPr>
      </w:pPr>
    </w:p>
    <w:p w14:paraId="1FF7F94E" w14:textId="77777777" w:rsidR="00423D96" w:rsidRDefault="00423D96" w:rsidP="009E0CD9">
      <w:pPr>
        <w:pStyle w:val="Ttulo1"/>
        <w:ind w:left="0" w:right="825"/>
        <w:rPr>
          <w:rFonts w:asciiTheme="minorHAnsi" w:hAnsiTheme="minorHAnsi" w:cstheme="minorHAnsi"/>
        </w:rPr>
      </w:pPr>
    </w:p>
    <w:p w14:paraId="3629884B" w14:textId="362EFCF7" w:rsidR="008E0159" w:rsidRDefault="00AF0A6E" w:rsidP="00AF0A6E">
      <w:pPr>
        <w:pStyle w:val="Ttulo1"/>
        <w:tabs>
          <w:tab w:val="left" w:pos="1134"/>
        </w:tabs>
        <w:ind w:left="0" w:right="825"/>
        <w:rPr>
          <w:rFonts w:ascii="Calibri" w:hAnsi="Calibri" w:cs="Calibri"/>
          <w:bCs w:val="0"/>
          <w:color w:val="000000"/>
          <w:sz w:val="22"/>
          <w:szCs w:val="22"/>
        </w:rPr>
      </w:pPr>
      <w:r>
        <w:rPr>
          <w:rFonts w:ascii="Calibri" w:hAnsi="Calibri" w:cs="Calibri"/>
          <w:bCs w:val="0"/>
          <w:color w:val="000000"/>
          <w:sz w:val="22"/>
          <w:szCs w:val="22"/>
        </w:rPr>
        <w:tab/>
      </w:r>
      <w:r w:rsidR="009B34D1">
        <w:rPr>
          <w:rFonts w:ascii="Calibri" w:hAnsi="Calibri" w:cs="Calibri"/>
          <w:bCs w:val="0"/>
          <w:color w:val="000000"/>
          <w:sz w:val="22"/>
          <w:szCs w:val="22"/>
        </w:rPr>
        <w:t>LISTA DE VERIFICAÇÃO</w:t>
      </w:r>
    </w:p>
    <w:p w14:paraId="36C1D103" w14:textId="5F428E63" w:rsidR="00D31518" w:rsidRPr="00D31518" w:rsidRDefault="004306D9" w:rsidP="00D31518">
      <w:pPr>
        <w:pStyle w:val="Ttulo1"/>
        <w:tabs>
          <w:tab w:val="left" w:pos="1134"/>
        </w:tabs>
        <w:ind w:left="1134" w:right="825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color w:val="000000"/>
          <w:sz w:val="22"/>
          <w:szCs w:val="22"/>
        </w:rPr>
        <w:t>ADESÃO, COMO ÓRGÃO NÃO PARTICIPANTE</w:t>
      </w:r>
      <w:r w:rsidR="00DA22EA">
        <w:rPr>
          <w:rFonts w:ascii="Calibri" w:hAnsi="Calibri" w:cs="Calibri"/>
          <w:bCs w:val="0"/>
          <w:color w:val="000000"/>
          <w:sz w:val="22"/>
          <w:szCs w:val="22"/>
        </w:rPr>
        <w:t xml:space="preserve"> (CARONA)</w:t>
      </w:r>
      <w:r>
        <w:rPr>
          <w:rFonts w:ascii="Calibri" w:hAnsi="Calibri" w:cs="Calibri"/>
          <w:bCs w:val="0"/>
          <w:color w:val="000000"/>
          <w:sz w:val="22"/>
          <w:szCs w:val="22"/>
        </w:rPr>
        <w:t>, À ATA DE REGISTRO DE PREÇOS (ARP) DA UNIÃO, ESTADOS, DISTRITO FEDERAL OU MUNICÍPIO</w:t>
      </w:r>
      <w:r w:rsidR="008D1451">
        <w:rPr>
          <w:rFonts w:ascii="Calibri" w:hAnsi="Calibri" w:cs="Calibri"/>
          <w:bCs w:val="0"/>
          <w:color w:val="000000"/>
          <w:sz w:val="22"/>
          <w:szCs w:val="22"/>
        </w:rPr>
        <w:t>S</w:t>
      </w:r>
      <w:r w:rsidR="00DC4DC7">
        <w:rPr>
          <w:rFonts w:ascii="Calibri" w:hAnsi="Calibri" w:cs="Calibri"/>
          <w:bCs w:val="0"/>
          <w:color w:val="000000"/>
          <w:sz w:val="22"/>
          <w:szCs w:val="22"/>
        </w:rPr>
        <w:t xml:space="preserve"> – LEI Nº 14.133/2021</w:t>
      </w:r>
    </w:p>
    <w:p w14:paraId="75D35038" w14:textId="77777777" w:rsidR="00D31518" w:rsidRDefault="00D31518" w:rsidP="00874410">
      <w:pPr>
        <w:spacing w:after="120"/>
        <w:ind w:left="-426" w:right="-568"/>
        <w:jc w:val="center"/>
        <w:rPr>
          <w:b/>
          <w:color w:val="000000"/>
        </w:rPr>
      </w:pPr>
    </w:p>
    <w:p w14:paraId="2FB2095E" w14:textId="7EA1195A" w:rsidR="00874410" w:rsidRPr="008C703F" w:rsidRDefault="00874410" w:rsidP="00874410">
      <w:pPr>
        <w:spacing w:after="120"/>
        <w:ind w:left="-426" w:right="-568"/>
        <w:jc w:val="center"/>
        <w:rPr>
          <w:b/>
          <w:color w:val="000000"/>
        </w:rPr>
      </w:pPr>
      <w:r w:rsidRPr="008C703F">
        <w:rPr>
          <w:b/>
          <w:color w:val="000000"/>
        </w:rPr>
        <w:t>PROCESSO</w:t>
      </w:r>
      <w:r w:rsidR="0001245E">
        <w:rPr>
          <w:b/>
          <w:color w:val="000000"/>
        </w:rPr>
        <w:t xml:space="preserve"> SEI</w:t>
      </w:r>
      <w:r w:rsidRPr="008C703F">
        <w:rPr>
          <w:b/>
          <w:color w:val="000000"/>
        </w:rPr>
        <w:t xml:space="preserve"> N</w:t>
      </w:r>
      <w:r w:rsidR="000E3086">
        <w:rPr>
          <w:b/>
          <w:color w:val="000000"/>
        </w:rPr>
        <w:t>º:</w:t>
      </w:r>
      <w:r w:rsidRPr="008C703F">
        <w:rPr>
          <w:b/>
          <w:color w:val="000000"/>
        </w:rPr>
        <w:t xml:space="preserve"> _______________________</w:t>
      </w:r>
    </w:p>
    <w:p w14:paraId="7B0E4005" w14:textId="77777777" w:rsidR="00DA22EA" w:rsidRDefault="00DA22EA" w:rsidP="00AF0A6E">
      <w:pPr>
        <w:pStyle w:val="Default"/>
        <w:spacing w:before="60"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2A90598" w14:textId="09FCF7A5" w:rsidR="00AF0A6E" w:rsidRDefault="00AF0A6E" w:rsidP="00AF0A6E">
      <w:pPr>
        <w:pStyle w:val="Default"/>
        <w:spacing w:before="60" w:after="60"/>
        <w:jc w:val="both"/>
        <w:rPr>
          <w:rFonts w:asciiTheme="minorHAnsi" w:hAnsiTheme="minorHAnsi" w:cstheme="minorHAnsi"/>
          <w:color w:val="auto"/>
        </w:rPr>
      </w:pPr>
      <w:r w:rsidRPr="00073BF1">
        <w:rPr>
          <w:rFonts w:asciiTheme="minorHAnsi" w:hAnsiTheme="minorHAnsi" w:cstheme="minorHAnsi"/>
          <w:color w:val="auto"/>
        </w:rPr>
        <w:t>É importante lembrar que, antes de iniciar a instrução do processo de adesão, o órgão deve verificar no Portal da Transparência</w:t>
      </w:r>
      <w:r w:rsidR="00BE4981">
        <w:rPr>
          <w:rFonts w:asciiTheme="minorHAnsi" w:hAnsiTheme="minorHAnsi" w:cstheme="minorHAnsi"/>
          <w:color w:val="auto"/>
        </w:rPr>
        <w:t xml:space="preserve"> do Município de Goiânia</w:t>
      </w:r>
      <w:r w:rsidRPr="00073BF1">
        <w:rPr>
          <w:rFonts w:asciiTheme="minorHAnsi" w:hAnsiTheme="minorHAnsi" w:cstheme="minorHAnsi"/>
          <w:color w:val="auto"/>
        </w:rPr>
        <w:t xml:space="preserve"> a existência de Ata de Registro de Preços vigente que abranja o objeto desejado.</w:t>
      </w:r>
    </w:p>
    <w:p w14:paraId="1E8ABEFD" w14:textId="77777777" w:rsidR="002B3B47" w:rsidRDefault="002B3B47" w:rsidP="002B3B47">
      <w:pPr>
        <w:spacing w:after="120"/>
        <w:ind w:left="-426" w:right="-568"/>
        <w:jc w:val="center"/>
        <w:rPr>
          <w:b/>
          <w:color w:val="000000"/>
          <w:sz w:val="18"/>
          <w:szCs w:val="18"/>
        </w:rPr>
      </w:pPr>
    </w:p>
    <w:tbl>
      <w:tblPr>
        <w:tblW w:w="10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8"/>
        <w:gridCol w:w="2512"/>
        <w:gridCol w:w="2512"/>
      </w:tblGrid>
      <w:tr w:rsidR="004B07AE" w:rsidRPr="000F4AF8" w14:paraId="4ABC14BC" w14:textId="77777777" w:rsidTr="004B07AE">
        <w:trPr>
          <w:trHeight w:val="227"/>
          <w:jc w:val="center"/>
        </w:trPr>
        <w:tc>
          <w:tcPr>
            <w:tcW w:w="5838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CDA376" w14:textId="5163F69C" w:rsidR="004B07AE" w:rsidRPr="00934618" w:rsidRDefault="004B07AE" w:rsidP="003229D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962AEB">
              <w:rPr>
                <w:rFonts w:cstheme="minorHAnsi"/>
                <w:b/>
                <w:bCs/>
                <w:sz w:val="24"/>
                <w:szCs w:val="24"/>
              </w:rPr>
              <w:t xml:space="preserve">Aspectos gerais pertinentes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à adesão à ata de registro de preços</w:t>
            </w:r>
          </w:p>
        </w:tc>
        <w:tc>
          <w:tcPr>
            <w:tcW w:w="251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E15F5" w14:textId="77777777" w:rsidR="004B07AE" w:rsidRDefault="004B07AE" w:rsidP="008129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634C3EFE" w14:textId="17A47868" w:rsidR="004B07AE" w:rsidRPr="008129F7" w:rsidRDefault="004B07AE" w:rsidP="008129F7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cstheme="minorHAnsi"/>
                <w:sz w:val="24"/>
                <w:szCs w:val="24"/>
              </w:rPr>
              <w:t>(Sim / Não</w:t>
            </w:r>
            <w:r w:rsidR="00060121">
              <w:rPr>
                <w:rFonts w:cstheme="minorHAnsi"/>
                <w:sz w:val="24"/>
                <w:szCs w:val="24"/>
              </w:rPr>
              <w:t xml:space="preserve"> / Não se aplica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512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D567E" w14:textId="5B72EF1E" w:rsidR="004B07AE" w:rsidRPr="00934618" w:rsidRDefault="004B07AE" w:rsidP="008129F7">
            <w:pPr>
              <w:jc w:val="center"/>
              <w:rPr>
                <w:rFonts w:asciiTheme="minorHAnsi" w:hAnsiTheme="minorHAnsi" w:cstheme="minorHAnsi"/>
                <w:b/>
                <w:caps/>
                <w:spacing w:val="-12"/>
                <w:sz w:val="24"/>
                <w:szCs w:val="24"/>
              </w:rPr>
            </w:pPr>
            <w:r w:rsidRPr="008129F7">
              <w:rPr>
                <w:sz w:val="24"/>
                <w:szCs w:val="24"/>
                <w:lang w:val="pt-BR"/>
              </w:rPr>
              <w:t>Indicação do local do processo em que foi atendida a exigência (doc. / fls. / SEI)</w:t>
            </w:r>
          </w:p>
        </w:tc>
      </w:tr>
    </w:tbl>
    <w:p w14:paraId="7014C44E" w14:textId="77777777" w:rsidR="00AA2A34" w:rsidRDefault="00AA2A34" w:rsidP="001C4316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  <w:sectPr w:rsidR="00AA2A34">
          <w:footerReference w:type="default" r:id="rId9"/>
          <w:pgSz w:w="11900" w:h="16840"/>
          <w:pgMar w:top="540" w:right="560" w:bottom="380" w:left="460" w:header="0" w:footer="181" w:gutter="0"/>
          <w:cols w:space="720"/>
        </w:sectPr>
      </w:pPr>
    </w:p>
    <w:p w14:paraId="67BBC60A" w14:textId="77777777" w:rsidR="00AA2A34" w:rsidRDefault="00AA2A34" w:rsidP="001C4316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  <w:sectPr w:rsidR="00AA2A34" w:rsidSect="00AA2A34">
          <w:type w:val="continuous"/>
          <w:pgSz w:w="11900" w:h="16840"/>
          <w:pgMar w:top="540" w:right="560" w:bottom="380" w:left="460" w:header="0" w:footer="181" w:gutter="0"/>
          <w:cols w:space="720"/>
        </w:sectPr>
      </w:pPr>
    </w:p>
    <w:tbl>
      <w:tblPr>
        <w:tblW w:w="10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8"/>
        <w:gridCol w:w="2512"/>
        <w:gridCol w:w="2512"/>
      </w:tblGrid>
      <w:tr w:rsidR="004B07AE" w:rsidRPr="00441108" w14:paraId="18022484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2B18D" w14:textId="419F1ED2" w:rsidR="004B07AE" w:rsidRPr="00D0321F" w:rsidRDefault="004C40E8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Consta </w:t>
            </w:r>
            <w:r w:rsidR="004B07AE"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Documento de Formalização da Demanda (DFD)</w:t>
            </w:r>
            <w:r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?</w:t>
            </w:r>
            <w:r w:rsidR="00CF2C47"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F2C47" w:rsidRPr="00D0321F">
              <w:rPr>
                <w:sz w:val="24"/>
                <w:szCs w:val="24"/>
              </w:rPr>
              <w:t xml:space="preserve">O DFD é documento obrigatório que deve constar em qualquer processo de contratação, conforme </w:t>
            </w:r>
            <w:hyperlink r:id="rId10" w:anchor="art12vii" w:history="1">
              <w:r w:rsidR="00CF2C47" w:rsidRPr="001237C3">
                <w:rPr>
                  <w:rStyle w:val="Hyperlink"/>
                  <w:sz w:val="24"/>
                  <w:szCs w:val="24"/>
                </w:rPr>
                <w:t>art. 12, VII</w:t>
              </w:r>
            </w:hyperlink>
            <w:r w:rsidR="00CF2C47" w:rsidRPr="00D0321F">
              <w:rPr>
                <w:sz w:val="24"/>
                <w:szCs w:val="24"/>
              </w:rPr>
              <w:t xml:space="preserve">, e </w:t>
            </w:r>
            <w:hyperlink r:id="rId11" w:anchor="art72i" w:history="1">
              <w:r w:rsidR="00CF2C47" w:rsidRPr="001237C3">
                <w:rPr>
                  <w:rStyle w:val="Hyperlink"/>
                  <w:sz w:val="24"/>
                  <w:szCs w:val="24"/>
                </w:rPr>
                <w:t>art. 72, I, da Lei 14133/</w:t>
              </w:r>
              <w:r w:rsidR="00D9165F" w:rsidRPr="001237C3">
                <w:rPr>
                  <w:rStyle w:val="Hyperlink"/>
                  <w:sz w:val="24"/>
                  <w:szCs w:val="24"/>
                </w:rPr>
                <w:t>2021</w:t>
              </w:r>
            </w:hyperlink>
            <w:r w:rsidR="00CF2C47" w:rsidRPr="00D0321F">
              <w:rPr>
                <w:sz w:val="24"/>
                <w:szCs w:val="24"/>
              </w:rPr>
              <w:t xml:space="preserve">, e </w:t>
            </w:r>
            <w:hyperlink r:id="rId12" w:history="1">
              <w:r w:rsidR="00CF2C47" w:rsidRPr="001237C3">
                <w:rPr>
                  <w:rStyle w:val="Hyperlink"/>
                  <w:sz w:val="24"/>
                  <w:szCs w:val="24"/>
                </w:rPr>
                <w:t>art. 7º, I, da IN TCMGO nº 9/2023</w:t>
              </w:r>
            </w:hyperlink>
            <w:r w:rsidR="00CF2C47" w:rsidRPr="00D0321F">
              <w:rPr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A0BB2C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26A3A" w14:textId="7F19821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70495FC5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56E22" w14:textId="2D41FF33" w:rsidR="004B07AE" w:rsidRPr="00D0321F" w:rsidRDefault="006D01EB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Há </w:t>
            </w:r>
            <w:r w:rsidR="004B07AE"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Estudo Técnico Preliminar (ETP)</w:t>
            </w:r>
            <w:r w:rsidR="00E85B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hyperlink r:id="rId13" w:anchor="art18%C2%A71" w:history="1">
              <w:r w:rsidR="00E85BB5" w:rsidRPr="001237C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 18, §1º, Lei nº 14.133/2021</w:t>
              </w:r>
            </w:hyperlink>
            <w:r w:rsidR="00E85BB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043038"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?</w:t>
            </w:r>
            <w:r w:rsidR="004B07AE"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Além dos elementos previstos no</w:t>
            </w:r>
            <w:r w:rsidR="00E85B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5ADC">
              <w:rPr>
                <w:rFonts w:asciiTheme="minorHAnsi" w:hAnsiTheme="minorHAnsi" w:cstheme="minorHAnsi"/>
                <w:sz w:val="24"/>
                <w:szCs w:val="24"/>
              </w:rPr>
              <w:t>citado artigo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, nos termos definidos no </w:t>
            </w:r>
            <w:hyperlink r:id="rId14" w:anchor="art18%C2%A72" w:history="1">
              <w:r w:rsidR="004B07AE" w:rsidRPr="006E028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§2º do </w:t>
              </w:r>
              <w:r w:rsidR="00945ADC" w:rsidRPr="006E028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mesmo</w:t>
              </w:r>
              <w:r w:rsidR="004B07AE" w:rsidRPr="006E028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artigo</w:t>
              </w:r>
            </w:hyperlink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, o ETP deverá conter as informações que bem caracterizam a contratação, tais como o quantitativo demandado e o local de entrega do bem ou de prestação do serviço</w:t>
            </w:r>
            <w:r w:rsidR="007A66F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A66F4" w:rsidRPr="005A4D7C">
              <w:rPr>
                <w:rFonts w:asciiTheme="minorHAnsi" w:hAnsiTheme="minorHAnsi" w:cstheme="minorHAnsi"/>
                <w:sz w:val="24"/>
                <w:szCs w:val="24"/>
              </w:rPr>
              <w:t xml:space="preserve"> atestando que o objeto registrado em ata atende a demanda identificada nos atos de preparação.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BB0493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ECD5D" w14:textId="0139428E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62161EA7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45EF8" w14:textId="6E907F32" w:rsidR="004B07AE" w:rsidRPr="00D0321F" w:rsidRDefault="00961E0D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Consta</w:t>
            </w:r>
            <w:r w:rsidR="00CB5A4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 </w:t>
            </w:r>
            <w:r w:rsidR="00025CB3"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cópias da Ata de Registro de Preços (ARP) e do respectivo edital da licitação com seus anexos</w:t>
            </w:r>
            <w:r w:rsidR="002E34CD" w:rsidRPr="00D0321F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4B07AE"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58610A"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Estes documentos deverão </w:t>
            </w:r>
            <w:r w:rsidR="004B07AE"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conter as especificações do objeto ao qual se deseja aderir.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6B714E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296F5" w14:textId="7DAB3DB6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2019C1B0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7783B" w14:textId="0C39D541" w:rsidR="004B07AE" w:rsidRPr="00D0321F" w:rsidRDefault="00961E0D" w:rsidP="001C4316">
            <w:pPr>
              <w:widowControl/>
              <w:numPr>
                <w:ilvl w:val="0"/>
                <w:numId w:val="9"/>
              </w:numPr>
              <w:tabs>
                <w:tab w:val="left" w:pos="460"/>
              </w:tabs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Consta a p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ublicação da ARP ou do respectivo extrato</w:t>
            </w:r>
            <w:r w:rsidR="001170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17020" w:rsidRPr="00D0321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hyperlink r:id="rId15" w:anchor="art174%C2%A72iv" w:history="1">
              <w:r w:rsidR="00117020" w:rsidRPr="0060610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 174, §2º, IV, Lei nº 14.133/2021</w:t>
              </w:r>
            </w:hyperlink>
            <w:r w:rsidR="00117020" w:rsidRPr="00D0321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747C8" w:rsidRPr="00D0321F">
              <w:rPr>
                <w:rFonts w:asciiTheme="minorHAnsi" w:hAnsiTheme="minorHAnsi" w:cstheme="minorHAnsi"/>
                <w:sz w:val="24"/>
                <w:szCs w:val="24"/>
              </w:rPr>
              <w:t>Deve ser juntada a c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omprovação de Publicação no Portal Nacional de Contratações Públicas (PNCP) e, se for o caso, no Diário Oficial da esfera de governo do órgão gerenciador da ARP (municipal, estadual, distrital ou federal, ou por consórcios públicos gerenciados por esses entes).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60A206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F93E7" w14:textId="0F5DFA86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117A12F5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73808" w14:textId="0EF4ECBF" w:rsidR="004B07AE" w:rsidRPr="00D0321F" w:rsidRDefault="00B0354C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1F">
              <w:rPr>
                <w:rFonts w:cstheme="minorHAnsi"/>
                <w:sz w:val="24"/>
                <w:szCs w:val="24"/>
              </w:rPr>
              <w:t>Foi apresentada justificativa da vantagem da adesão</w:t>
            </w:r>
            <w:r w:rsidR="00117020">
              <w:rPr>
                <w:rFonts w:cstheme="minorHAnsi"/>
                <w:sz w:val="24"/>
                <w:szCs w:val="24"/>
              </w:rPr>
              <w:t xml:space="preserve"> </w:t>
            </w:r>
            <w:r w:rsidR="00117020">
              <w:rPr>
                <w:rFonts w:cstheme="minorHAnsi"/>
                <w:sz w:val="24"/>
                <w:szCs w:val="24"/>
              </w:rPr>
              <w:lastRenderedPageBreak/>
              <w:t>(</w:t>
            </w:r>
            <w:hyperlink r:id="rId16" w:history="1">
              <w:r w:rsidR="00C2294B"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art. 26, </w:t>
              </w:r>
              <w:r w:rsidR="00C2294B" w:rsidRPr="00BE1E48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caput</w:t>
              </w:r>
              <w:r w:rsidR="00C2294B"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 I, c/c art. 27, §2º, I, Decreto</w:t>
              </w:r>
              <w:r w:rsidR="00313BF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nº </w:t>
              </w:r>
              <w:r w:rsidR="00C2294B"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967/2022</w:t>
              </w:r>
            </w:hyperlink>
            <w:r w:rsidR="0011702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0321F">
              <w:rPr>
                <w:rFonts w:cstheme="minorHAnsi"/>
                <w:sz w:val="24"/>
                <w:szCs w:val="24"/>
              </w:rPr>
              <w:t>?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429A" w:rsidRPr="00D0321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 lei admite adesão inclusive para provável desabastecimento ou descontinuidade de serviço público (</w:t>
            </w:r>
            <w:hyperlink r:id="rId17" w:anchor="art86%C2%A72i" w:history="1">
              <w:r w:rsidR="0041429A" w:rsidRPr="000608D1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pt-BR"/>
                </w:rPr>
                <w:t>art. 86, §2º, I, Lei nº 14.133/2021</w:t>
              </w:r>
            </w:hyperlink>
            <w:r w:rsidR="0041429A" w:rsidRPr="00D0321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). Embora o rol do </w:t>
            </w:r>
            <w:hyperlink r:id="rId18" w:history="1">
              <w:r w:rsidR="0041429A" w:rsidRPr="000608D1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pt-BR"/>
                </w:rPr>
                <w:t xml:space="preserve">art. 3º do </w:t>
              </w:r>
              <w:r w:rsidR="0041429A" w:rsidRPr="000608D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Decreto</w:t>
              </w:r>
              <w:r w:rsidR="00085D9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nº</w:t>
              </w:r>
              <w:r w:rsidR="0041429A" w:rsidRPr="000608D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967/2022</w:t>
              </w:r>
            </w:hyperlink>
            <w:r w:rsidR="0041429A" w:rsidRPr="00D0321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seja exemplificativo, é necessária a apresentação da justificativa da vantagem e pertinência da adesão</w:t>
            </w:r>
            <w:r w:rsidR="0041429A" w:rsidRPr="00D0321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bem como a necessidade efetiva do objeto pretendido, incluindo informações que fundamentem, por parâmetros sólidos, a quantidade e a destinação dos produtos ou serviços</w:t>
            </w:r>
            <w:r w:rsidR="003D11BF" w:rsidRPr="00D0321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EB55E2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D81D2" w14:textId="23EFADCD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30FF17B8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47ED6" w14:textId="2B867C26" w:rsidR="004B07AE" w:rsidRPr="00D0321F" w:rsidRDefault="003C249E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1F">
              <w:rPr>
                <w:rFonts w:cstheme="minorHAnsi"/>
                <w:sz w:val="24"/>
                <w:szCs w:val="24"/>
              </w:rPr>
              <w:t>Os valores registrados estão compatíveis com os valores praticados pelo mercado (</w:t>
            </w:r>
            <w:hyperlink r:id="rId19" w:anchor="art86%C2%A72ii" w:history="1">
              <w:r w:rsidRPr="000608D1">
                <w:rPr>
                  <w:rStyle w:val="Hyperlink"/>
                  <w:rFonts w:cstheme="minorHAnsi"/>
                  <w:sz w:val="24"/>
                  <w:szCs w:val="24"/>
                </w:rPr>
                <w:t>art. 86, §2º, II, Lei n</w:t>
              </w:r>
              <w:r w:rsidR="00085D98">
                <w:rPr>
                  <w:rStyle w:val="Hyperlink"/>
                  <w:rFonts w:cstheme="minorHAnsi"/>
                  <w:sz w:val="24"/>
                  <w:szCs w:val="24"/>
                </w:rPr>
                <w:t>º</w:t>
              </w:r>
              <w:r w:rsidRPr="000608D1">
                <w:rPr>
                  <w:rStyle w:val="Hyperlink"/>
                  <w:rFonts w:cstheme="minorHAnsi"/>
                  <w:sz w:val="24"/>
                  <w:szCs w:val="24"/>
                </w:rPr>
                <w:t xml:space="preserve"> 14.133/2021</w:t>
              </w:r>
            </w:hyperlink>
            <w:r w:rsidRPr="00D0321F">
              <w:rPr>
                <w:rFonts w:cstheme="minorHAnsi"/>
                <w:sz w:val="24"/>
                <w:szCs w:val="24"/>
              </w:rPr>
              <w:t xml:space="preserve"> e conforme </w:t>
            </w:r>
            <w:hyperlink r:id="rId20" w:history="1">
              <w:r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art. 26, </w:t>
              </w:r>
              <w:r w:rsidRPr="00BE1E48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caput</w:t>
              </w:r>
              <w:r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 II, c/c art. 27, §2º, I, Decreto</w:t>
              </w:r>
              <w:r w:rsidR="00313BF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nº</w:t>
              </w:r>
              <w:r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967/2022</w:t>
              </w:r>
            </w:hyperlink>
            <w:r w:rsidRPr="00D0321F">
              <w:rPr>
                <w:rFonts w:cstheme="minorHAnsi"/>
                <w:sz w:val="24"/>
                <w:szCs w:val="24"/>
              </w:rPr>
              <w:t xml:space="preserve">)? Deverá ser demonstrado, mediante 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Pesquisa de Preços de Mercado</w:t>
            </w: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que os valores registrados estão compatíveis</w:t>
            </w:r>
            <w:r w:rsidR="00305C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com os praticados pelo mercado, a forma do </w:t>
            </w:r>
            <w:hyperlink r:id="rId21" w:anchor="art23" w:history="1">
              <w:r w:rsidR="004B07AE" w:rsidRPr="000608D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 23 da Lei nº 14.133/2021</w:t>
              </w:r>
            </w:hyperlink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, conforme dispõe a </w:t>
            </w:r>
            <w:hyperlink r:id="rId22" w:history="1">
              <w:r w:rsidR="004B07AE" w:rsidRPr="0034697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IN </w:t>
              </w:r>
              <w:r w:rsidR="004B07AE" w:rsidRPr="00346979">
                <w:rPr>
                  <w:rStyle w:val="Hyperlink"/>
                  <w:rFonts w:asciiTheme="minorHAnsi" w:hAnsiTheme="minorHAnsi" w:cstheme="minorHAnsi"/>
                  <w:caps/>
                  <w:sz w:val="24"/>
                  <w:szCs w:val="24"/>
                </w:rPr>
                <w:t>semad</w:t>
              </w:r>
              <w:r w:rsidR="004B07AE" w:rsidRPr="0034697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nº 001/2022</w:t>
              </w:r>
            </w:hyperlink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, evidenciando a existência de vantagem econômica na adesão pretendida</w:t>
            </w:r>
            <w:r w:rsidR="008B1238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, sendo dispensável a realização prévia de pesquisa de mercado apenas para adesão a </w:t>
            </w:r>
            <w:r w:rsidR="00C7577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8B1238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ta de </w:t>
            </w:r>
            <w:r w:rsidR="00C75771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8B1238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egistro de </w:t>
            </w:r>
            <w:r w:rsidR="00C75771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B1238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reços do Município de Goiânia, nos termos do </w:t>
            </w:r>
            <w:hyperlink r:id="rId23" w:history="1">
              <w:r w:rsidR="008B1238"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 26, §1º, do Decreto</w:t>
              </w:r>
              <w:r w:rsidR="00085D9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nº</w:t>
              </w:r>
              <w:r w:rsidR="008B1238"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967/2022</w:t>
              </w:r>
            </w:hyperlink>
            <w:r w:rsidR="008B1238" w:rsidRPr="00D0321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EB91F4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2C152" w14:textId="2B4A92B9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210DE708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78DBD" w14:textId="3A5A19DC" w:rsidR="004B07AE" w:rsidRPr="00D0321F" w:rsidRDefault="00BD4261" w:rsidP="006F4A64">
            <w:pPr>
              <w:widowControl/>
              <w:numPr>
                <w:ilvl w:val="1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Foi observado </w:t>
            </w:r>
            <w:r w:rsidR="004B07AE"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 os orçamentos apresentam a mesma descrição</w:t>
            </w:r>
            <w:r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4B07AE"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</w:t>
            </w:r>
            <w:r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4B07AE"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marca</w:t>
            </w:r>
            <w:r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4B07AE"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</w:t>
            </w:r>
            <w:r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4B07AE"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modelo dos itens constantes na </w:t>
            </w:r>
            <w:r w:rsidR="00676D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ARP</w:t>
            </w:r>
            <w:r w:rsidRPr="00D032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?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037F7A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558D6" w14:textId="764B3A2B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70592EA3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F9482" w14:textId="74D21E39" w:rsidR="004B07AE" w:rsidRPr="00D0321F" w:rsidRDefault="005F27F6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Consta a 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Declaração de Compatibilidade de Preços</w:t>
            </w:r>
            <w:r w:rsidR="0090424B" w:rsidRPr="00D0321F">
              <w:rPr>
                <w:rFonts w:asciiTheme="minorHAnsi" w:hAnsiTheme="minorHAnsi" w:cstheme="minorHAnsi"/>
                <w:sz w:val="24"/>
                <w:szCs w:val="24"/>
              </w:rPr>
              <w:t>, assinada pelo responsável pela Pesquisa de Preços de Mercado</w:t>
            </w: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Declarar que os preços levantados durante a Pesquisa de Preços de Mercado garantem a melhor oferta e a contratação mais vantajosa para a Administração Pública, conforme </w:t>
            </w:r>
            <w:hyperlink r:id="rId24" w:history="1">
              <w:r w:rsidR="004B07AE" w:rsidRPr="004365B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IN </w:t>
              </w:r>
              <w:r w:rsidR="004B07AE" w:rsidRPr="004365BA">
                <w:rPr>
                  <w:rStyle w:val="Hyperlink"/>
                  <w:rFonts w:asciiTheme="minorHAnsi" w:hAnsiTheme="minorHAnsi" w:cstheme="minorHAnsi"/>
                  <w:caps/>
                  <w:sz w:val="24"/>
                  <w:szCs w:val="24"/>
                </w:rPr>
                <w:t>semad</w:t>
              </w:r>
              <w:r w:rsidR="004B07AE" w:rsidRPr="004365B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Nº 001/2022</w:t>
              </w:r>
            </w:hyperlink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hyperlink r:id="rId25" w:history="1">
              <w:r w:rsidR="004B07AE"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Decreto</w:t>
              </w:r>
              <w:r w:rsidR="00313BF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nº</w:t>
              </w:r>
              <w:r w:rsidR="004B07AE"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967/2022</w:t>
              </w:r>
            </w:hyperlink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9811CD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40A0" w14:textId="144BA225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12A6" w:rsidRPr="00441108" w14:paraId="58A41565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7E8D5" w14:textId="30A5C0FA" w:rsidR="00C812A6" w:rsidRPr="00D0321F" w:rsidRDefault="00C812A6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Constam o Pedido de Compra, Estimativa de Preço, Mapa de Preços (constando o nome das empresas nos orçamentos) e Nota de Pré-Empenho devidamente assinados</w:t>
            </w:r>
            <w:r w:rsidR="000611EB" w:rsidRPr="00D0321F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Atentar para que a nota de Pré-Empenho apresente valor compatível ao da Solicitação Financeira.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2C2BA3" w14:textId="77777777" w:rsidR="00C812A6" w:rsidRPr="00934618" w:rsidRDefault="00C812A6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2FA96" w14:textId="77777777" w:rsidR="00C812A6" w:rsidRPr="00934618" w:rsidRDefault="00C812A6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A6E4F" w:rsidRPr="00441108" w14:paraId="74731C16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F43AF" w14:textId="0924CDD6" w:rsidR="007A6E4F" w:rsidRPr="00D0321F" w:rsidRDefault="007A6E4F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cstheme="minorHAnsi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Consta o ofício do órgão ou entidade ao fornecedor solicitando autorização para adesão à ARP (</w:t>
            </w:r>
            <w:hyperlink r:id="rId26" w:anchor="art86%C2%A72iii" w:history="1">
              <w:r w:rsidRPr="005E5DC6">
                <w:rPr>
                  <w:rStyle w:val="Hyperlink"/>
                  <w:rFonts w:cstheme="minorHAnsi"/>
                  <w:sz w:val="24"/>
                  <w:szCs w:val="24"/>
                </w:rPr>
                <w:t>art. 86, §2º, III, Lei n</w:t>
              </w:r>
              <w:r w:rsidR="00085D98">
                <w:rPr>
                  <w:rStyle w:val="Hyperlink"/>
                  <w:rFonts w:cstheme="minorHAnsi"/>
                  <w:sz w:val="24"/>
                  <w:szCs w:val="24"/>
                </w:rPr>
                <w:t xml:space="preserve">º </w:t>
              </w:r>
              <w:r w:rsidRPr="005E5DC6">
                <w:rPr>
                  <w:rStyle w:val="Hyperlink"/>
                  <w:rFonts w:cstheme="minorHAnsi"/>
                  <w:sz w:val="24"/>
                  <w:szCs w:val="24"/>
                </w:rPr>
                <w:t>14.133/2021</w:t>
              </w:r>
            </w:hyperlink>
            <w:r w:rsidRPr="00D0321F">
              <w:rPr>
                <w:rFonts w:cstheme="minorHAnsi"/>
                <w:sz w:val="24"/>
                <w:szCs w:val="24"/>
              </w:rPr>
              <w:t xml:space="preserve"> e </w:t>
            </w:r>
            <w:hyperlink r:id="rId27" w:history="1">
              <w:r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art. 26, </w:t>
              </w:r>
              <w:r w:rsidRPr="00BE1E48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caput</w:t>
              </w:r>
              <w:r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 IV, c/c art. 27, §2º, I, Decreto</w:t>
              </w:r>
              <w:r w:rsidR="00313BF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nº</w:t>
              </w:r>
              <w:r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967/2022</w:t>
              </w:r>
            </w:hyperlink>
            <w:r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)? </w:t>
            </w:r>
            <w:r w:rsidR="00AE3B95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Deverá conter </w:t>
            </w:r>
            <w:r w:rsidR="00AE3B95" w:rsidRPr="00AE3B95">
              <w:rPr>
                <w:rFonts w:asciiTheme="minorHAnsi" w:hAnsiTheme="minorHAnsi" w:cstheme="minorHAnsi"/>
                <w:sz w:val="24"/>
                <w:szCs w:val="24"/>
              </w:rPr>
              <w:t>exposição de motivos que fundamentem seu requerimento, indicando o item requerido e o quantitativo demandado</w:t>
            </w: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646E88" w14:textId="77777777" w:rsidR="007A6E4F" w:rsidRPr="00934618" w:rsidRDefault="007A6E4F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14F10" w14:textId="77777777" w:rsidR="007A6E4F" w:rsidRPr="00934618" w:rsidRDefault="007A6E4F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51F98" w:rsidRPr="00441108" w14:paraId="77876A64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ED087" w14:textId="7B2799FA" w:rsidR="00451F98" w:rsidRPr="00D0321F" w:rsidRDefault="00451F98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1F">
              <w:rPr>
                <w:rFonts w:cstheme="minorHAnsi"/>
                <w:sz w:val="24"/>
                <w:szCs w:val="24"/>
              </w:rPr>
              <w:t>O fornecedor aceitou o pedido de adesão (</w:t>
            </w:r>
            <w:hyperlink r:id="rId28" w:anchor="art86%C2%A72iii" w:history="1">
              <w:r w:rsidRPr="00805A57">
                <w:rPr>
                  <w:rStyle w:val="Hyperlink"/>
                  <w:rFonts w:cstheme="minorHAnsi"/>
                  <w:sz w:val="24"/>
                  <w:szCs w:val="24"/>
                </w:rPr>
                <w:t>art. 86, §2º, III, Lei n</w:t>
              </w:r>
              <w:r w:rsidR="00085D98">
                <w:rPr>
                  <w:rStyle w:val="Hyperlink"/>
                  <w:rFonts w:cstheme="minorHAnsi"/>
                  <w:sz w:val="24"/>
                  <w:szCs w:val="24"/>
                </w:rPr>
                <w:t>º</w:t>
              </w:r>
              <w:r w:rsidRPr="00805A57">
                <w:rPr>
                  <w:rStyle w:val="Hyperlink"/>
                  <w:rFonts w:cstheme="minorHAnsi"/>
                  <w:sz w:val="24"/>
                  <w:szCs w:val="24"/>
                </w:rPr>
                <w:t xml:space="preserve"> 14.133/2021</w:t>
              </w:r>
            </w:hyperlink>
            <w:r w:rsidRPr="00D0321F">
              <w:rPr>
                <w:rFonts w:cstheme="minorHAnsi"/>
                <w:sz w:val="24"/>
                <w:szCs w:val="24"/>
              </w:rPr>
              <w:t xml:space="preserve"> e </w:t>
            </w:r>
            <w:hyperlink r:id="rId29" w:history="1">
              <w:r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art. 26, </w:t>
              </w:r>
              <w:r w:rsidRPr="00BE1E48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caput</w:t>
              </w:r>
              <w:r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 IV, c/c art. 27, §2º, I, Decreto</w:t>
              </w:r>
              <w:r w:rsidR="00085D9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nº</w:t>
              </w:r>
              <w:r w:rsidRPr="00BE1E4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967/2022</w:t>
              </w:r>
            </w:hyperlink>
            <w:r w:rsidRPr="00D0321F">
              <w:rPr>
                <w:rFonts w:cstheme="minorHAnsi"/>
                <w:sz w:val="24"/>
                <w:szCs w:val="24"/>
              </w:rPr>
              <w:t xml:space="preserve">)? </w:t>
            </w:r>
            <w:r w:rsidRPr="00D0321F">
              <w:rPr>
                <w:rFonts w:cstheme="minorHAnsi"/>
                <w:sz w:val="24"/>
                <w:szCs w:val="24"/>
                <w:lang w:val="pt-BR"/>
              </w:rPr>
              <w:t>A autorização do órgão ou da entidade gerenciadora apenas será realizada após a aceitação da adesão pelo fornecedor, o qual deverá m</w:t>
            </w:r>
            <w:r w:rsidRPr="00D032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anifestar concordância em </w:t>
            </w:r>
            <w:r w:rsidRPr="00D032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lastRenderedPageBreak/>
              <w:t>fornecer os bens ou os serviços, de acordo com as condições e especificações do Edital de Licitação, e nas quantidades autorizadas pelo gerenciador da ARP.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428290" w14:textId="77777777" w:rsidR="00451F98" w:rsidRPr="00934618" w:rsidRDefault="00451F98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7BF02" w14:textId="77777777" w:rsidR="00451F98" w:rsidRPr="00934618" w:rsidRDefault="00451F98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11A32EDA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985F0" w14:textId="166F7834" w:rsidR="004B07AE" w:rsidRPr="00D0321F" w:rsidRDefault="003B72BF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Consta o o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fício do órgão</w:t>
            </w: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ou entidade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ao gerenciador da ARP solicitando autorização para adesão à Ata</w:t>
            </w:r>
            <w:r w:rsidR="0095529C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hyperlink r:id="rId30" w:anchor="art86%C2%A72iii" w:history="1">
              <w:r w:rsidR="008122C6" w:rsidRPr="00805084">
                <w:rPr>
                  <w:rStyle w:val="Hyperlink"/>
                  <w:rFonts w:cstheme="minorHAnsi"/>
                  <w:sz w:val="24"/>
                  <w:szCs w:val="24"/>
                </w:rPr>
                <w:t>art. 86, §2º, III, da Lei n</w:t>
              </w:r>
              <w:r w:rsidR="00085D98">
                <w:rPr>
                  <w:rStyle w:val="Hyperlink"/>
                  <w:rFonts w:cstheme="minorHAnsi"/>
                  <w:sz w:val="24"/>
                  <w:szCs w:val="24"/>
                </w:rPr>
                <w:t>º</w:t>
              </w:r>
              <w:r w:rsidR="008122C6" w:rsidRPr="00805084">
                <w:rPr>
                  <w:rStyle w:val="Hyperlink"/>
                  <w:rFonts w:cstheme="minorHAnsi"/>
                  <w:sz w:val="24"/>
                  <w:szCs w:val="24"/>
                </w:rPr>
                <w:t xml:space="preserve"> 14.133/2021</w:t>
              </w:r>
            </w:hyperlink>
            <w:r w:rsidR="00E43382" w:rsidRPr="00D0321F">
              <w:rPr>
                <w:rFonts w:cstheme="minorHAnsi"/>
                <w:sz w:val="24"/>
                <w:szCs w:val="24"/>
              </w:rPr>
              <w:t xml:space="preserve"> e </w:t>
            </w:r>
            <w:hyperlink r:id="rId31" w:history="1">
              <w:r w:rsidR="00E43382" w:rsidRPr="0080508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art. 26, </w:t>
              </w:r>
              <w:r w:rsidR="00E43382" w:rsidRPr="00805084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caput</w:t>
              </w:r>
              <w:r w:rsidR="00E43382" w:rsidRPr="0080508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 IV, c/c art. 27, §2º, I, Decreto</w:t>
              </w:r>
              <w:r w:rsidR="00085D9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nº</w:t>
              </w:r>
              <w:r w:rsidR="00E43382" w:rsidRPr="0080508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967/2022</w:t>
              </w:r>
            </w:hyperlink>
            <w:r w:rsidR="0095529C" w:rsidRPr="00D0321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0618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Deverá conter </w:t>
            </w:r>
            <w:r w:rsidR="00AE3B95" w:rsidRPr="00AE3B95">
              <w:rPr>
                <w:rFonts w:asciiTheme="minorHAnsi" w:hAnsiTheme="minorHAnsi" w:cstheme="minorHAnsi"/>
                <w:sz w:val="24"/>
                <w:szCs w:val="24"/>
              </w:rPr>
              <w:t>exposição de motivos que fundamentem seu requerimento, indicando o item requerido e o quantitativo demandado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D950C6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414EB" w14:textId="48EFAD54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7853AFF9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1ADD6" w14:textId="5646275C" w:rsidR="004B07AE" w:rsidRPr="00D0321F" w:rsidRDefault="00EC08A3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1F">
              <w:rPr>
                <w:rFonts w:cstheme="minorHAnsi"/>
                <w:sz w:val="24"/>
                <w:szCs w:val="24"/>
              </w:rPr>
              <w:t>Houve aceitação da adesão pelo gerenciador</w:t>
            </w:r>
            <w:r w:rsidR="00005D84" w:rsidRPr="00D0321F">
              <w:rPr>
                <w:rFonts w:cstheme="minorHAnsi"/>
                <w:sz w:val="24"/>
                <w:szCs w:val="24"/>
              </w:rPr>
              <w:t xml:space="preserve"> da ARP</w:t>
            </w:r>
            <w:r w:rsidR="00292C11" w:rsidRPr="00D0321F">
              <w:rPr>
                <w:rFonts w:cstheme="minorHAnsi"/>
                <w:sz w:val="24"/>
                <w:szCs w:val="24"/>
              </w:rPr>
              <w:t xml:space="preserve"> (</w:t>
            </w:r>
            <w:hyperlink r:id="rId32" w:anchor="art86%C2%A72iii" w:history="1">
              <w:r w:rsidR="00292C11" w:rsidRPr="00BB075E">
                <w:rPr>
                  <w:rStyle w:val="Hyperlink"/>
                  <w:rFonts w:cstheme="minorHAnsi"/>
                  <w:sz w:val="24"/>
                  <w:szCs w:val="24"/>
                </w:rPr>
                <w:t>art. 86, §2º, III, Lei n</w:t>
              </w:r>
              <w:r w:rsidR="00085D98">
                <w:rPr>
                  <w:rStyle w:val="Hyperlink"/>
                  <w:rFonts w:cstheme="minorHAnsi"/>
                  <w:sz w:val="24"/>
                  <w:szCs w:val="24"/>
                </w:rPr>
                <w:t>º</w:t>
              </w:r>
              <w:r w:rsidR="00292C11" w:rsidRPr="00BB075E">
                <w:rPr>
                  <w:rStyle w:val="Hyperlink"/>
                  <w:rFonts w:cstheme="minorHAnsi"/>
                  <w:sz w:val="24"/>
                  <w:szCs w:val="24"/>
                </w:rPr>
                <w:t xml:space="preserve"> 14.133/2021</w:t>
              </w:r>
            </w:hyperlink>
            <w:r w:rsidR="00292C11" w:rsidRPr="00D0321F">
              <w:rPr>
                <w:rFonts w:cstheme="minorHAnsi"/>
                <w:sz w:val="24"/>
                <w:szCs w:val="24"/>
              </w:rPr>
              <w:t xml:space="preserve"> e</w:t>
            </w:r>
            <w:r w:rsidRPr="00D0321F">
              <w:rPr>
                <w:rFonts w:cstheme="minorHAnsi"/>
                <w:sz w:val="24"/>
                <w:szCs w:val="24"/>
              </w:rPr>
              <w:t xml:space="preserve"> </w:t>
            </w:r>
            <w:hyperlink r:id="rId33" w:history="1">
              <w:r w:rsidRPr="00BB075E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art. 26, </w:t>
              </w:r>
              <w:r w:rsidRPr="00BB075E">
                <w:rPr>
                  <w:rStyle w:val="Hyperlink"/>
                  <w:rFonts w:asciiTheme="minorHAnsi" w:hAnsiTheme="minorHAnsi" w:cstheme="minorHAnsi"/>
                  <w:i/>
                  <w:iCs/>
                  <w:spacing w:val="-4"/>
                  <w:sz w:val="24"/>
                  <w:szCs w:val="24"/>
                </w:rPr>
                <w:t>caput</w:t>
              </w:r>
              <w:r w:rsidRPr="00BB075E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>,</w:t>
              </w:r>
              <w:r w:rsidR="005E1CA8" w:rsidRPr="00BB075E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Pr="00BB075E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  <w:lang w:val="pt-BR"/>
                </w:rPr>
                <w:t xml:space="preserve">IV, </w:t>
              </w:r>
              <w:r w:rsidRPr="00BB075E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pt-BR"/>
                </w:rPr>
                <w:t xml:space="preserve">c/c art. 27, §2º, </w:t>
              </w:r>
              <w:r w:rsidRPr="00BB075E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I, Decreto </w:t>
              </w:r>
              <w:r w:rsidR="00085D9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nº </w:t>
              </w:r>
              <w:r w:rsidRPr="00BB075E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967/2022</w:t>
              </w:r>
            </w:hyperlink>
            <w:r w:rsidR="00292C11" w:rsidRPr="00D0321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0321F">
              <w:rPr>
                <w:rFonts w:cstheme="minorHAnsi"/>
                <w:sz w:val="24"/>
                <w:szCs w:val="24"/>
              </w:rPr>
              <w:t xml:space="preserve">? </w:t>
            </w:r>
            <w:r w:rsidR="001C2269" w:rsidRPr="00D0321F">
              <w:rPr>
                <w:rFonts w:cstheme="minorHAnsi"/>
                <w:sz w:val="24"/>
                <w:szCs w:val="24"/>
              </w:rPr>
              <w:t>Deverá haver a a</w:t>
            </w:r>
            <w:r w:rsidR="004B07AE" w:rsidRPr="00D032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utorização para a adesão pretendida, contendo </w:t>
            </w:r>
            <w:r w:rsidR="0035314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 item</w:t>
            </w:r>
            <w:r w:rsidR="004B07AE" w:rsidRPr="00D032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35314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e quantitativo </w:t>
            </w:r>
            <w:r w:rsidR="004B07AE" w:rsidRPr="00D032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autorizado</w:t>
            </w:r>
            <w:r w:rsidR="0035314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</w:t>
            </w:r>
            <w:r w:rsidR="004B07AE" w:rsidRPr="00D032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, assim como os valores unitários e totais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C50C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50C3B" w:rsidRPr="00C50C3B">
              <w:rPr>
                <w:rFonts w:asciiTheme="minorHAnsi" w:hAnsiTheme="minorHAnsi" w:cstheme="minorHAnsi"/>
                <w:sz w:val="24"/>
                <w:szCs w:val="24"/>
              </w:rPr>
              <w:t>Após a autorização pelo gerenciador, o órgão</w:t>
            </w:r>
            <w:r w:rsidR="00C50C3B">
              <w:rPr>
                <w:rFonts w:asciiTheme="minorHAnsi" w:hAnsiTheme="minorHAnsi" w:cstheme="minorHAnsi"/>
                <w:sz w:val="24"/>
                <w:szCs w:val="24"/>
              </w:rPr>
              <w:t xml:space="preserve"> ou entidade</w:t>
            </w:r>
            <w:r w:rsidR="00C50C3B" w:rsidRPr="00C50C3B">
              <w:rPr>
                <w:rFonts w:asciiTheme="minorHAnsi" w:hAnsiTheme="minorHAnsi" w:cstheme="minorHAnsi"/>
                <w:sz w:val="24"/>
                <w:szCs w:val="24"/>
              </w:rPr>
              <w:t xml:space="preserve"> não participante deve efetivar a aquisição ou a </w:t>
            </w:r>
            <w:r w:rsidR="00C50C3B" w:rsidRPr="008C7284">
              <w:rPr>
                <w:rFonts w:asciiTheme="minorHAnsi" w:hAnsiTheme="minorHAnsi" w:cstheme="minorHAnsi"/>
                <w:sz w:val="24"/>
                <w:szCs w:val="24"/>
              </w:rPr>
              <w:t>contratação solicitada no prazo previsto no regulamento do</w:t>
            </w:r>
            <w:r w:rsidR="003B4C08" w:rsidRPr="008C72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50C3B" w:rsidRPr="008C7284">
              <w:rPr>
                <w:rFonts w:asciiTheme="minorHAnsi" w:hAnsiTheme="minorHAnsi" w:cstheme="minorHAnsi"/>
                <w:sz w:val="24"/>
                <w:szCs w:val="24"/>
              </w:rPr>
              <w:t>gerenciador</w:t>
            </w:r>
            <w:r w:rsidR="005D7EB2" w:rsidRPr="008C7284">
              <w:rPr>
                <w:rFonts w:asciiTheme="minorHAnsi" w:hAnsiTheme="minorHAnsi" w:cstheme="minorHAnsi"/>
                <w:sz w:val="24"/>
                <w:szCs w:val="24"/>
              </w:rPr>
              <w:t xml:space="preserve"> da ARP</w:t>
            </w:r>
            <w:r w:rsidR="00C50C3B" w:rsidRPr="008C7284">
              <w:rPr>
                <w:rFonts w:asciiTheme="minorHAnsi" w:hAnsiTheme="minorHAnsi" w:cstheme="minorHAnsi"/>
                <w:sz w:val="24"/>
                <w:szCs w:val="24"/>
              </w:rPr>
              <w:t>, observado o prazo de vigência da ata.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B7477F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6DCDC" w14:textId="04FC8CEE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359BE" w:rsidRPr="00441108" w14:paraId="26CAB722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D7173" w14:textId="0A56E0B0" w:rsidR="003359BE" w:rsidRPr="00D0321F" w:rsidRDefault="00494E25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D0321F">
              <w:rPr>
                <w:rFonts w:cstheme="minorHAnsi"/>
                <w:sz w:val="24"/>
                <w:szCs w:val="24"/>
              </w:rPr>
              <w:t xml:space="preserve">Foi observado o limite de 50% (cinquenta por cento) dos quantitativos registrados na </w:t>
            </w:r>
            <w:r w:rsidR="00362B71">
              <w:rPr>
                <w:rFonts w:cstheme="minorHAnsi"/>
                <w:sz w:val="24"/>
                <w:szCs w:val="24"/>
              </w:rPr>
              <w:t>ARP</w:t>
            </w:r>
            <w:r w:rsidRPr="00D0321F">
              <w:rPr>
                <w:rFonts w:cstheme="minorHAnsi"/>
                <w:sz w:val="24"/>
                <w:szCs w:val="24"/>
              </w:rPr>
              <w:t xml:space="preserve"> para o órgão gerenciador e para os órgãos participantes (</w:t>
            </w:r>
            <w:hyperlink r:id="rId34" w:anchor="art86%C2%A74" w:history="1">
              <w:r w:rsidRPr="003744C7">
                <w:rPr>
                  <w:rStyle w:val="Hyperlink"/>
                  <w:rFonts w:cstheme="minorHAnsi"/>
                  <w:sz w:val="24"/>
                  <w:szCs w:val="24"/>
                </w:rPr>
                <w:t>art. 86, §4º, Lei n</w:t>
              </w:r>
              <w:r w:rsidR="00085D98">
                <w:rPr>
                  <w:rStyle w:val="Hyperlink"/>
                  <w:rFonts w:cstheme="minorHAnsi"/>
                  <w:sz w:val="24"/>
                  <w:szCs w:val="24"/>
                </w:rPr>
                <w:t>º</w:t>
              </w:r>
              <w:r w:rsidRPr="003744C7">
                <w:rPr>
                  <w:rStyle w:val="Hyperlink"/>
                  <w:rFonts w:cstheme="minorHAnsi"/>
                  <w:sz w:val="24"/>
                  <w:szCs w:val="24"/>
                </w:rPr>
                <w:t xml:space="preserve"> 14.133/</w:t>
              </w:r>
              <w:r w:rsidR="00D9165F" w:rsidRPr="003744C7">
                <w:rPr>
                  <w:rStyle w:val="Hyperlink"/>
                  <w:rFonts w:cstheme="minorHAnsi"/>
                  <w:sz w:val="24"/>
                  <w:szCs w:val="24"/>
                </w:rPr>
                <w:t>2021</w:t>
              </w:r>
            </w:hyperlink>
            <w:r w:rsidRPr="00D0321F">
              <w:rPr>
                <w:rFonts w:cstheme="minorHAnsi"/>
                <w:sz w:val="24"/>
                <w:szCs w:val="24"/>
              </w:rPr>
              <w:t>)?</w:t>
            </w:r>
            <w:r w:rsidR="00005BF1">
              <w:rPr>
                <w:rFonts w:cstheme="minorHAnsi"/>
                <w:sz w:val="24"/>
                <w:szCs w:val="24"/>
              </w:rPr>
              <w:t xml:space="preserve"> </w:t>
            </w:r>
            <w:r w:rsidR="00B71F4A">
              <w:rPr>
                <w:rFonts w:cstheme="minorHAnsi"/>
                <w:sz w:val="24"/>
                <w:szCs w:val="24"/>
              </w:rPr>
              <w:t>Poderá ser solicitado uma declaração emitida pelo órgão gerenciador ou outra documentação hábil a comprovar que a adesão não extrapola o limite previsto em lei.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E605B3" w14:textId="77777777" w:rsidR="003359BE" w:rsidRPr="00934618" w:rsidRDefault="003359B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54AFD" w14:textId="77777777" w:rsidR="003359BE" w:rsidRPr="00934618" w:rsidRDefault="003359B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C6B1E" w:rsidRPr="00441108" w14:paraId="12C3713F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FEA38" w14:textId="19393A30" w:rsidR="003C6B1E" w:rsidRDefault="003C6B1E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Consta a análise d</w:t>
            </w:r>
            <w:r w:rsidRPr="003C6B1E">
              <w:rPr>
                <w:rFonts w:cstheme="minorHAnsi"/>
                <w:sz w:val="24"/>
                <w:szCs w:val="24"/>
              </w:rPr>
              <w:t>os documentos de habilitação</w:t>
            </w:r>
            <w:r>
              <w:rPr>
                <w:rFonts w:cstheme="minorHAnsi"/>
                <w:sz w:val="24"/>
                <w:szCs w:val="24"/>
              </w:rPr>
              <w:t xml:space="preserve"> fiscal</w:t>
            </w:r>
            <w:r w:rsidR="00152370">
              <w:rPr>
                <w:rFonts w:cstheme="minorHAnsi"/>
                <w:sz w:val="24"/>
                <w:szCs w:val="24"/>
              </w:rPr>
              <w:t xml:space="preserve"> e trabalhista</w:t>
            </w:r>
            <w:r w:rsidR="00CC74E2">
              <w:rPr>
                <w:rFonts w:cstheme="minorHAnsi"/>
                <w:sz w:val="24"/>
                <w:szCs w:val="24"/>
              </w:rPr>
              <w:t xml:space="preserve">, </w:t>
            </w:r>
            <w:r w:rsidR="00CC74E2" w:rsidRPr="00A14C12">
              <w:rPr>
                <w:rFonts w:cstheme="minorHAnsi"/>
                <w:sz w:val="24"/>
                <w:szCs w:val="24"/>
              </w:rPr>
              <w:t>por meio do SICAF</w:t>
            </w:r>
            <w:r w:rsidR="00005BF1" w:rsidRPr="00A14C12">
              <w:rPr>
                <w:rFonts w:cstheme="minorHAnsi"/>
                <w:sz w:val="24"/>
                <w:szCs w:val="24"/>
              </w:rPr>
              <w:t xml:space="preserve"> ou consulta eletrônica</w:t>
            </w:r>
            <w:r w:rsidR="00D31485">
              <w:rPr>
                <w:rFonts w:cstheme="minorHAnsi"/>
                <w:sz w:val="24"/>
                <w:szCs w:val="24"/>
              </w:rPr>
              <w:t xml:space="preserve"> nos </w:t>
            </w:r>
            <w:r w:rsidR="00D31485" w:rsidRPr="00D31485">
              <w:rPr>
                <w:rFonts w:cstheme="minorHAnsi"/>
                <w:sz w:val="24"/>
                <w:szCs w:val="24"/>
              </w:rPr>
              <w:t>sítios eletrônicos oficiais emissores de certidão</w:t>
            </w:r>
            <w:r w:rsidR="00CC74E2" w:rsidRPr="00A14C12">
              <w:rPr>
                <w:rFonts w:cstheme="minorHAnsi"/>
                <w:sz w:val="24"/>
                <w:szCs w:val="24"/>
              </w:rPr>
              <w:t xml:space="preserve">, </w:t>
            </w:r>
            <w:r w:rsidR="00CC74E2">
              <w:rPr>
                <w:rFonts w:cstheme="minorHAnsi"/>
                <w:sz w:val="24"/>
                <w:szCs w:val="24"/>
              </w:rPr>
              <w:t>d</w:t>
            </w:r>
            <w:r w:rsidRPr="003C6B1E">
              <w:rPr>
                <w:rFonts w:cstheme="minorHAnsi"/>
                <w:sz w:val="24"/>
                <w:szCs w:val="24"/>
              </w:rPr>
              <w:t xml:space="preserve">o </w:t>
            </w:r>
            <w:r w:rsidR="00CC74E2">
              <w:rPr>
                <w:rFonts w:cstheme="minorHAnsi"/>
                <w:sz w:val="24"/>
                <w:szCs w:val="24"/>
              </w:rPr>
              <w:t>fornecedor</w:t>
            </w:r>
            <w:r w:rsidRPr="003C6B1E">
              <w:rPr>
                <w:rFonts w:cstheme="minorHAnsi"/>
                <w:sz w:val="24"/>
                <w:szCs w:val="24"/>
              </w:rPr>
              <w:t xml:space="preserve"> da </w:t>
            </w:r>
            <w:r w:rsidR="00CC74E2">
              <w:rPr>
                <w:rFonts w:cstheme="minorHAnsi"/>
                <w:sz w:val="24"/>
                <w:szCs w:val="24"/>
              </w:rPr>
              <w:t>ARP?</w:t>
            </w:r>
          </w:p>
          <w:p w14:paraId="07937F99" w14:textId="77777777" w:rsidR="003B44F4" w:rsidRPr="003B44F4" w:rsidRDefault="003B44F4" w:rsidP="003B44F4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rFonts w:cstheme="minorHAnsi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Certidão Negativa de Débito - CND do INSS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6BDA4285" w14:textId="77777777" w:rsidR="003B44F4" w:rsidRPr="003B44F4" w:rsidRDefault="003B44F4" w:rsidP="003B44F4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rFonts w:cstheme="minorHAnsi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Certidão de Regularidade do FGTS emitida pela Caixa Econômica Federal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4F5C9577" w14:textId="77777777" w:rsidR="003B44F4" w:rsidRPr="00A733ED" w:rsidRDefault="003B44F4" w:rsidP="003B44F4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rFonts w:cstheme="minorHAnsi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Certidão Negativa de Débitos Trabalhistas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–</w:t>
            </w:r>
            <w:r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CNDT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01396B8E" w14:textId="228F4033" w:rsidR="00A733ED" w:rsidRPr="00A733ED" w:rsidRDefault="00A733ED" w:rsidP="003B44F4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rFonts w:cstheme="minorHAnsi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Certidão Negativa de Débitos Federal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32AB16BE" w14:textId="762A0F66" w:rsidR="007E5942" w:rsidRPr="007E5942" w:rsidRDefault="00A733ED" w:rsidP="007E5942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rFonts w:cstheme="minorHAnsi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Certidão Negativa de Débitos </w:t>
            </w:r>
            <w:r w:rsidR="008559EF" w:rsidRPr="008559E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Estadual/Distrital e/ou Municipal/Distrital</w:t>
            </w:r>
            <w:r w:rsidR="008559E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8559EF" w:rsidRPr="008559E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 domicílio ou sede do fornecedor, relativa à atividade em cujo exercício contrata</w:t>
            </w:r>
            <w:r w:rsidR="007E59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640F6F7F" w14:textId="0648D1F3" w:rsidR="00925FFE" w:rsidRPr="007E5942" w:rsidRDefault="00925FFE" w:rsidP="007E5942">
            <w:pPr>
              <w:widowControl/>
              <w:autoSpaceDE/>
              <w:autoSpaceDN/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7E5942">
              <w:rPr>
                <w:rFonts w:cstheme="minorHAnsi"/>
                <w:sz w:val="24"/>
                <w:szCs w:val="24"/>
              </w:rPr>
              <w:t xml:space="preserve">Serão </w:t>
            </w:r>
            <w:r w:rsidR="00FD15AF" w:rsidRPr="007E5942">
              <w:rPr>
                <w:rFonts w:cstheme="minorHAnsi"/>
                <w:sz w:val="24"/>
                <w:szCs w:val="24"/>
              </w:rPr>
              <w:t xml:space="preserve">igualmente </w:t>
            </w:r>
            <w:r w:rsidRPr="007E5942">
              <w:rPr>
                <w:rFonts w:cstheme="minorHAnsi"/>
                <w:sz w:val="24"/>
                <w:szCs w:val="24"/>
              </w:rPr>
              <w:t>aceitas certidões positivas com efeitos de negativas para comprovação da regularidade fiscal e trabalhista.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355472" w14:textId="77777777" w:rsidR="003C6B1E" w:rsidRPr="00934618" w:rsidRDefault="003C6B1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5762C" w14:textId="77777777" w:rsidR="003C6B1E" w:rsidRPr="00934618" w:rsidRDefault="003C6B1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B44F4" w:rsidRPr="00441108" w14:paraId="7260414B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08291" w14:textId="59B8043E" w:rsidR="003B44F4" w:rsidRPr="00CF60A4" w:rsidRDefault="003B44F4" w:rsidP="003B44F4">
            <w:pPr>
              <w:pStyle w:val="PargrafodaLista"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F60A4">
              <w:rPr>
                <w:rFonts w:cstheme="minorHAnsi"/>
                <w:sz w:val="24"/>
                <w:szCs w:val="24"/>
              </w:rPr>
              <w:t>Foram consultados todos os sistemas de consulta abaixo e juntados aos autos os respectivos comprovantes</w:t>
            </w:r>
            <w:r>
              <w:rPr>
                <w:rFonts w:cstheme="minorHAnsi"/>
                <w:sz w:val="24"/>
                <w:szCs w:val="24"/>
              </w:rPr>
              <w:t xml:space="preserve"> relacionados ao fornecedor</w:t>
            </w:r>
            <w:r w:rsidR="00A51EE2">
              <w:rPr>
                <w:rFonts w:cstheme="minorHAnsi"/>
                <w:sz w:val="24"/>
                <w:szCs w:val="24"/>
              </w:rPr>
              <w:t xml:space="preserve">, em relação a eventual </w:t>
            </w:r>
            <w:r w:rsidR="00A51EE2" w:rsidRPr="00A51EE2">
              <w:rPr>
                <w:rFonts w:cstheme="minorHAnsi"/>
                <w:sz w:val="24"/>
                <w:szCs w:val="24"/>
              </w:rPr>
              <w:t>existência de sanção que impeça a futura contratação</w:t>
            </w:r>
            <w:r w:rsidRPr="00CF60A4">
              <w:rPr>
                <w:rFonts w:cstheme="minorHAnsi"/>
                <w:sz w:val="24"/>
                <w:szCs w:val="24"/>
              </w:rPr>
              <w:t>?</w:t>
            </w:r>
          </w:p>
          <w:p w14:paraId="576999A3" w14:textId="77777777" w:rsidR="003B44F4" w:rsidRPr="00471098" w:rsidRDefault="003B44F4" w:rsidP="003B44F4">
            <w:pPr>
              <w:adjustRightInd w:val="0"/>
              <w:ind w:left="708"/>
              <w:rPr>
                <w:rFonts w:cstheme="minorHAnsi"/>
                <w:sz w:val="24"/>
                <w:szCs w:val="24"/>
              </w:rPr>
            </w:pPr>
            <w:r w:rsidRPr="00471098">
              <w:rPr>
                <w:rFonts w:cstheme="minorHAnsi"/>
                <w:sz w:val="24"/>
                <w:szCs w:val="24"/>
              </w:rPr>
              <w:t xml:space="preserve">a) SICAF;  </w:t>
            </w:r>
          </w:p>
          <w:p w14:paraId="0937EAE5" w14:textId="43122CC7" w:rsidR="003B44F4" w:rsidRPr="00471098" w:rsidRDefault="003B44F4" w:rsidP="003B44F4">
            <w:pPr>
              <w:adjustRightInd w:val="0"/>
              <w:ind w:left="708"/>
              <w:rPr>
                <w:rFonts w:cstheme="minorHAnsi"/>
                <w:sz w:val="24"/>
                <w:szCs w:val="24"/>
              </w:rPr>
            </w:pPr>
            <w:r w:rsidRPr="00471098">
              <w:rPr>
                <w:rFonts w:cstheme="minorHAnsi"/>
                <w:sz w:val="24"/>
                <w:szCs w:val="24"/>
              </w:rPr>
              <w:t xml:space="preserve">b) Cadastro Nacional de Empresas Inidôneas e Suspensas - CEIS, mantido pela Controladoria-Geral da União </w:t>
            </w:r>
            <w:r w:rsidRPr="00471098">
              <w:rPr>
                <w:rFonts w:cstheme="minorHAnsi"/>
                <w:sz w:val="24"/>
                <w:szCs w:val="24"/>
              </w:rPr>
              <w:lastRenderedPageBreak/>
              <w:t>(</w:t>
            </w:r>
            <w:hyperlink r:id="rId35" w:history="1">
              <w:r w:rsidR="00891986" w:rsidRPr="00796052">
                <w:rPr>
                  <w:rStyle w:val="Hyperlink"/>
                  <w:rFonts w:cstheme="minorHAnsi"/>
                  <w:sz w:val="24"/>
                  <w:szCs w:val="24"/>
                </w:rPr>
                <w:t>www.portaldatransparencia.gov.br/ceis</w:t>
              </w:r>
            </w:hyperlink>
            <w:r w:rsidRPr="00471098">
              <w:rPr>
                <w:rFonts w:cstheme="minorHAnsi"/>
                <w:sz w:val="24"/>
                <w:szCs w:val="24"/>
              </w:rPr>
              <w:t xml:space="preserve">); </w:t>
            </w:r>
          </w:p>
          <w:p w14:paraId="6AF9A1CC" w14:textId="77777777" w:rsidR="00662D00" w:rsidRDefault="003B44F4" w:rsidP="00662D00">
            <w:pPr>
              <w:adjustRightInd w:val="0"/>
              <w:ind w:left="708"/>
              <w:rPr>
                <w:rFonts w:cstheme="minorHAnsi"/>
                <w:sz w:val="24"/>
                <w:szCs w:val="24"/>
              </w:rPr>
            </w:pPr>
            <w:r w:rsidRPr="00471098">
              <w:rPr>
                <w:rFonts w:cstheme="minorHAnsi"/>
                <w:sz w:val="24"/>
                <w:szCs w:val="24"/>
              </w:rPr>
              <w:t>c) Cadastro Nacional de Condenações Cíveis por Atos de Improbidade Administrativa, mantido pelo Conselho Nacional de Justiça (</w:t>
            </w:r>
            <w:hyperlink r:id="rId36" w:history="1">
              <w:r w:rsidR="00662D00" w:rsidRPr="00796052">
                <w:rPr>
                  <w:rStyle w:val="Hyperlink"/>
                  <w:rFonts w:cstheme="minorHAnsi"/>
                  <w:sz w:val="24"/>
                  <w:szCs w:val="24"/>
                </w:rPr>
                <w:t>www.cnj.jus.br/improbidade_adm/consultar_requerido.php</w:t>
              </w:r>
            </w:hyperlink>
            <w:r w:rsidRPr="00471098">
              <w:rPr>
                <w:rFonts w:cstheme="minorHAnsi"/>
                <w:sz w:val="24"/>
                <w:szCs w:val="24"/>
              </w:rPr>
              <w:t>)</w:t>
            </w:r>
            <w:r w:rsidR="00662D00">
              <w:rPr>
                <w:rFonts w:cstheme="minorHAnsi"/>
                <w:sz w:val="24"/>
                <w:szCs w:val="24"/>
              </w:rPr>
              <w:t>;</w:t>
            </w:r>
          </w:p>
          <w:p w14:paraId="5816BD05" w14:textId="78FD691A" w:rsidR="00662D00" w:rsidRDefault="00662D00" w:rsidP="00662D00">
            <w:pPr>
              <w:adjustRightInd w:val="0"/>
              <w:ind w:left="7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d) </w:t>
            </w:r>
            <w:r w:rsidRPr="00662D00">
              <w:rPr>
                <w:rFonts w:cstheme="minorHAnsi"/>
                <w:sz w:val="24"/>
                <w:szCs w:val="24"/>
              </w:rPr>
              <w:t>Cadastro Nacional de Empresas Punidas – CNEP, mantido pela Controladoria-Geral da União (</w:t>
            </w:r>
            <w:hyperlink r:id="rId37" w:history="1">
              <w:r w:rsidRPr="00796052">
                <w:rPr>
                  <w:rStyle w:val="Hyperlink"/>
                  <w:rFonts w:cstheme="minorHAnsi"/>
                  <w:sz w:val="24"/>
                  <w:szCs w:val="24"/>
                </w:rPr>
                <w:t>https://www.portaltransparencia.gov.br/sancoes/cnep</w:t>
              </w:r>
            </w:hyperlink>
            <w:r w:rsidRPr="00662D00">
              <w:rPr>
                <w:rFonts w:cstheme="minorHAnsi"/>
                <w:sz w:val="24"/>
                <w:szCs w:val="24"/>
              </w:rPr>
              <w:t>)</w:t>
            </w:r>
          </w:p>
          <w:p w14:paraId="0CCF9225" w14:textId="20293E13" w:rsidR="00214469" w:rsidRDefault="00662D00" w:rsidP="00662D00">
            <w:pPr>
              <w:adjustRightInd w:val="0"/>
              <w:ind w:left="7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3B44F4" w:rsidRPr="00A63FCA">
              <w:rPr>
                <w:rFonts w:cstheme="minorHAnsi"/>
                <w:sz w:val="24"/>
                <w:szCs w:val="24"/>
              </w:rPr>
              <w:t>) Lista de Inidôneos, mantida pelo Tribunal de Contas da União – TCU (</w:t>
            </w:r>
            <w:hyperlink r:id="rId38" w:history="1">
              <w:r w:rsidRPr="00796052">
                <w:rPr>
                  <w:rStyle w:val="Hyperlink"/>
                  <w:rFonts w:cstheme="minorHAnsi"/>
                  <w:sz w:val="24"/>
                  <w:szCs w:val="24"/>
                </w:rPr>
                <w:t>https://contas.tcu.gov.br/ords/f?p=INABILITADO:INIDONEOS</w:t>
              </w:r>
            </w:hyperlink>
            <w:r w:rsidR="003B44F4" w:rsidRPr="00A63FCA">
              <w:rPr>
                <w:rFonts w:cstheme="minorHAnsi"/>
                <w:sz w:val="24"/>
                <w:szCs w:val="24"/>
              </w:rPr>
              <w:t>);</w:t>
            </w:r>
          </w:p>
          <w:p w14:paraId="5AAEF224" w14:textId="334714BC" w:rsidR="00214469" w:rsidRPr="000726E2" w:rsidRDefault="00214469" w:rsidP="003B44F4">
            <w:pPr>
              <w:widowControl/>
              <w:autoSpaceDE/>
              <w:autoSpaceDN/>
              <w:jc w:val="both"/>
              <w:rPr>
                <w:rFonts w:cstheme="minorHAnsi"/>
                <w:sz w:val="24"/>
                <w:szCs w:val="24"/>
              </w:rPr>
            </w:pPr>
            <w:r w:rsidRPr="00214469">
              <w:rPr>
                <w:rFonts w:cstheme="minorHAnsi"/>
                <w:sz w:val="24"/>
                <w:szCs w:val="24"/>
              </w:rPr>
              <w:t>Para a consulta de licitantes pessoa jurídica poderá haver a substituição das consultas das alíneas “b”, “c”</w:t>
            </w:r>
            <w:r w:rsidR="00662D00">
              <w:rPr>
                <w:rFonts w:cstheme="minorHAnsi"/>
                <w:sz w:val="24"/>
                <w:szCs w:val="24"/>
              </w:rPr>
              <w:t>, “d”</w:t>
            </w:r>
            <w:r w:rsidRPr="00214469">
              <w:rPr>
                <w:rFonts w:cstheme="minorHAnsi"/>
                <w:sz w:val="24"/>
                <w:szCs w:val="24"/>
              </w:rPr>
              <w:t xml:space="preserve"> e “</w:t>
            </w:r>
            <w:r w:rsidR="00662D00">
              <w:rPr>
                <w:rFonts w:cstheme="minorHAnsi"/>
                <w:sz w:val="24"/>
                <w:szCs w:val="24"/>
              </w:rPr>
              <w:t>e</w:t>
            </w:r>
            <w:r w:rsidRPr="00214469">
              <w:rPr>
                <w:rFonts w:cstheme="minorHAnsi"/>
                <w:sz w:val="24"/>
                <w:szCs w:val="24"/>
              </w:rPr>
              <w:t>” acima pela Consulta Consolidada de Pessoa Jurídica do TCU (</w:t>
            </w:r>
            <w:hyperlink r:id="rId39" w:history="1">
              <w:r w:rsidRPr="00214469">
                <w:rPr>
                  <w:rStyle w:val="Hyperlink"/>
                  <w:rFonts w:cstheme="minorHAnsi"/>
                  <w:sz w:val="24"/>
                  <w:szCs w:val="24"/>
                </w:rPr>
                <w:t>https://certidoes-apf.apps.tcu.gov.br/</w:t>
              </w:r>
            </w:hyperlink>
            <w:r w:rsidRPr="0021446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8C3343" w14:textId="77777777" w:rsidR="003B44F4" w:rsidRPr="00934618" w:rsidRDefault="003B44F4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73F33" w14:textId="77777777" w:rsidR="003B44F4" w:rsidRPr="00934618" w:rsidRDefault="003B44F4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31582" w:rsidRPr="00441108" w14:paraId="1D4D8B8A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7770E" w14:textId="743C4998" w:rsidR="00131582" w:rsidRPr="00CF60A4" w:rsidRDefault="00131582" w:rsidP="003B44F4">
            <w:pPr>
              <w:pStyle w:val="PargrafodaLista"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0726E2">
              <w:rPr>
                <w:rFonts w:cstheme="minorHAnsi"/>
                <w:sz w:val="24"/>
                <w:szCs w:val="24"/>
              </w:rPr>
              <w:t xml:space="preserve">Consta </w:t>
            </w:r>
            <w:r>
              <w:rPr>
                <w:rFonts w:cstheme="minorHAnsi"/>
                <w:sz w:val="24"/>
                <w:szCs w:val="24"/>
              </w:rPr>
              <w:t>parece</w:t>
            </w:r>
            <w:r w:rsidR="009754D5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técnico</w:t>
            </w:r>
            <w:r w:rsidR="00D2040E">
              <w:rPr>
                <w:rFonts w:cstheme="minorHAnsi"/>
                <w:sz w:val="24"/>
                <w:szCs w:val="24"/>
              </w:rPr>
              <w:t xml:space="preserve"> acerca do objeto da ARP</w:t>
            </w:r>
            <w:r w:rsidRPr="000726E2">
              <w:rPr>
                <w:rFonts w:cstheme="minorHAnsi"/>
                <w:sz w:val="24"/>
                <w:szCs w:val="24"/>
              </w:rPr>
              <w:t xml:space="preserve"> (</w:t>
            </w:r>
            <w:hyperlink r:id="rId40" w:history="1">
              <w:r w:rsidRPr="008F0AC1">
                <w:rPr>
                  <w:rStyle w:val="Hyperlink"/>
                  <w:rFonts w:cstheme="minorHAnsi"/>
                  <w:sz w:val="24"/>
                  <w:szCs w:val="24"/>
                </w:rPr>
                <w:t>art. 27, §2º, II, Decreto nº 967/2022</w:t>
              </w:r>
            </w:hyperlink>
            <w:r w:rsidRPr="000726E2">
              <w:rPr>
                <w:rFonts w:cstheme="minorHAnsi"/>
                <w:sz w:val="24"/>
                <w:szCs w:val="24"/>
              </w:rPr>
              <w:t>)?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8F4FCB" w14:textId="77777777" w:rsidR="00131582" w:rsidRPr="00934618" w:rsidRDefault="00131582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4F451" w14:textId="77777777" w:rsidR="00131582" w:rsidRPr="00934618" w:rsidRDefault="00131582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4A7B7CE7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9C7EE" w14:textId="286A63D8" w:rsidR="004B07AE" w:rsidRPr="000726E2" w:rsidRDefault="00D824F9" w:rsidP="000726E2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cstheme="minorHAnsi"/>
                <w:sz w:val="24"/>
                <w:szCs w:val="24"/>
              </w:rPr>
            </w:pPr>
            <w:r w:rsidRPr="000726E2">
              <w:rPr>
                <w:rFonts w:cstheme="minorHAnsi"/>
                <w:sz w:val="24"/>
                <w:szCs w:val="24"/>
              </w:rPr>
              <w:t>Consta a a</w:t>
            </w:r>
            <w:r w:rsidR="004B07AE" w:rsidRPr="000726E2">
              <w:rPr>
                <w:rFonts w:cstheme="minorHAnsi"/>
                <w:sz w:val="24"/>
                <w:szCs w:val="24"/>
              </w:rPr>
              <w:t>nuência da Secretaria Municipal de Finanças acerca da adesão (</w:t>
            </w:r>
            <w:hyperlink r:id="rId41" w:history="1">
              <w:r w:rsidR="004B07AE" w:rsidRPr="008F0AC1">
                <w:rPr>
                  <w:rStyle w:val="Hyperlink"/>
                  <w:rFonts w:cstheme="minorHAnsi"/>
                  <w:sz w:val="24"/>
                  <w:szCs w:val="24"/>
                </w:rPr>
                <w:t>art. 27, §2º, III, Decreto nº 967/2022</w:t>
              </w:r>
            </w:hyperlink>
            <w:r w:rsidR="004B07AE" w:rsidRPr="000726E2">
              <w:rPr>
                <w:rFonts w:cstheme="minorHAnsi"/>
                <w:sz w:val="24"/>
                <w:szCs w:val="24"/>
              </w:rPr>
              <w:t>)</w:t>
            </w:r>
            <w:r w:rsidR="00AF6B59" w:rsidRPr="000726E2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F8313D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7CF61" w14:textId="57C99223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7B7655DB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0CB3F" w14:textId="7A798F69" w:rsidR="004B07AE" w:rsidRPr="00D0321F" w:rsidRDefault="00F2194F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Consta a 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Solicitação Financeira </w:t>
            </w: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autorizada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pelo titular da Secretaria Municipal de Finanças, constando Declaração do Ordenador de Despesas devidamente assinad</w:t>
            </w: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pelo titular da Pasta, conforme estabelecido no Decreto Municipal </w:t>
            </w:r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que dispõe sobre critérios a serem adotados na execução orçamentária e financeira e os procedimentos contábeis do Poder Executivo do Município de Goiânia, para o exercício vigente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 e de acordo com a </w:t>
            </w:r>
            <w:hyperlink r:id="rId42" w:history="1">
              <w:r w:rsidR="004B07AE" w:rsidRPr="008F0AC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Lei Complementar nº 101/2000</w:t>
              </w:r>
            </w:hyperlink>
            <w:r w:rsidRPr="00D0321F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415EBC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22F1E" w14:textId="7181FFDB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02027" w:rsidRPr="00441108" w14:paraId="75C5856C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8C3C7" w14:textId="50CA553B" w:rsidR="00702027" w:rsidRDefault="00702027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Consta a </w:t>
            </w:r>
            <w:r w:rsidRPr="00702027">
              <w:rPr>
                <w:rFonts w:asciiTheme="minorHAnsi" w:hAnsiTheme="minorHAnsi" w:cstheme="minorHAnsi"/>
                <w:sz w:val="24"/>
                <w:szCs w:val="24"/>
              </w:rPr>
              <w:t>minuta de contrato anexa ao Edital de Licitação da ARP</w:t>
            </w:r>
            <w:r w:rsidR="00CC0F8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hyperlink r:id="rId43" w:anchor="art18vi" w:history="1">
              <w:r w:rsidR="00CC0F88" w:rsidRPr="0044764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arts. 18, VI</w:t>
              </w:r>
            </w:hyperlink>
            <w:r w:rsidR="00CC0F88" w:rsidRPr="00CC0F88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hyperlink r:id="rId44" w:anchor="art25%C2%A71" w:history="1">
              <w:r w:rsidR="00CC0F88" w:rsidRPr="0044764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25, §§1° e 3°, Lei nº 14.133/2021</w:t>
              </w:r>
            </w:hyperlink>
            <w:r w:rsidR="00CC0F8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  <w:r w:rsidRPr="00702027">
              <w:rPr>
                <w:rFonts w:asciiTheme="minorHAnsi" w:hAnsiTheme="minorHAnsi" w:cstheme="minorHAnsi"/>
                <w:sz w:val="24"/>
                <w:szCs w:val="24"/>
              </w:rPr>
              <w:t xml:space="preserve">A minuta anexa ao Edital de Licitação </w:t>
            </w:r>
            <w:r w:rsidR="007031F3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7020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31F3">
              <w:rPr>
                <w:rFonts w:asciiTheme="minorHAnsi" w:hAnsiTheme="minorHAnsi" w:cstheme="minorHAnsi"/>
                <w:sz w:val="24"/>
                <w:szCs w:val="24"/>
              </w:rPr>
              <w:t>ARP</w:t>
            </w:r>
            <w:r w:rsidRPr="00702027">
              <w:rPr>
                <w:rFonts w:asciiTheme="minorHAnsi" w:hAnsiTheme="minorHAnsi" w:cstheme="minorHAnsi"/>
                <w:sz w:val="24"/>
                <w:szCs w:val="24"/>
              </w:rPr>
              <w:t xml:space="preserve"> deve ser preenchida de acordo com a especificação do objeto constante no processo. As adaptações necessárias devem ser destacadas para análise jurídica</w:t>
            </w:r>
            <w:r w:rsidR="004E642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CB5C2B" w14:textId="77777777" w:rsidR="00702027" w:rsidRPr="00934618" w:rsidRDefault="00702027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BC445" w14:textId="77777777" w:rsidR="00702027" w:rsidRPr="00934618" w:rsidRDefault="00702027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4A8C8E71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A42D4" w14:textId="64AC09A1" w:rsidR="004B07AE" w:rsidRPr="00D0321F" w:rsidRDefault="00187C5A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Consta p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 xml:space="preserve">arecer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urídico manifestando sobre a viabilidade da adesão</w:t>
            </w:r>
            <w:r w:rsidR="00D025E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hyperlink r:id="rId45" w:anchor="art53" w:history="1">
              <w:r w:rsidR="00D025E8" w:rsidRPr="00685B9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 53</w:t>
              </w:r>
              <w:r w:rsidR="00085D9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, </w:t>
              </w:r>
              <w:r w:rsidR="00D025E8" w:rsidRPr="00685B9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Lei nº 14.133/2021</w:t>
              </w:r>
            </w:hyperlink>
            <w:r w:rsidR="00F875FA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hyperlink r:id="rId46" w:history="1">
              <w:r w:rsidR="00F875FA" w:rsidRPr="008F0AC1">
                <w:rPr>
                  <w:rStyle w:val="Hyperlink"/>
                  <w:rFonts w:cstheme="minorHAnsi"/>
                  <w:sz w:val="24"/>
                  <w:szCs w:val="24"/>
                </w:rPr>
                <w:t>art. 27, §2º, IV, Decreto nº 967/2022</w:t>
              </w:r>
            </w:hyperlink>
            <w:r w:rsidR="00D025E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205D34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27B2E" w14:textId="1DDC2266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79455734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2E426" w14:textId="265E9CA4" w:rsidR="004B07AE" w:rsidRPr="00D0321F" w:rsidRDefault="00D4536F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Consta d</w:t>
            </w:r>
            <w:r w:rsidR="004B07AE" w:rsidRPr="00D0321F">
              <w:rPr>
                <w:rFonts w:asciiTheme="minorHAnsi" w:hAnsiTheme="minorHAnsi" w:cstheme="minorHAnsi"/>
                <w:sz w:val="24"/>
                <w:szCs w:val="24"/>
              </w:rPr>
              <w:t>espacho autorizativo do Titular da Pasta</w:t>
            </w:r>
            <w:r w:rsidR="00F006A5">
              <w:rPr>
                <w:rFonts w:asciiTheme="minorHAnsi" w:hAnsiTheme="minorHAnsi" w:cstheme="minorHAnsi"/>
                <w:sz w:val="24"/>
                <w:szCs w:val="24"/>
              </w:rPr>
              <w:t xml:space="preserve"> acerca da adesão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0DB5ED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76D35" w14:textId="71A44591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2316E" w:rsidRPr="00441108" w14:paraId="75F9443A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67A5A" w14:textId="25184D97" w:rsidR="0052316E" w:rsidRPr="00EB0EF9" w:rsidRDefault="0052316E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0EF9">
              <w:rPr>
                <w:rFonts w:asciiTheme="minorHAnsi" w:hAnsiTheme="minorHAnsi" w:cstheme="minorHAnsi"/>
                <w:sz w:val="24"/>
                <w:szCs w:val="24"/>
              </w:rPr>
              <w:t>Há necessidade de prestação de garantia contratual pelo futuro contratado (</w:t>
            </w:r>
            <w:hyperlink r:id="rId47" w:anchor="art90" w:history="1">
              <w:r w:rsidRPr="00EB0EF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arts. 90, </w:t>
              </w:r>
              <w:r w:rsidRPr="00EB0EF9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caput</w:t>
              </w:r>
              <w:r w:rsidRPr="00EB0EF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e §1º</w:t>
              </w:r>
            </w:hyperlink>
            <w:r w:rsidRPr="00EB0EF9">
              <w:rPr>
                <w:rFonts w:asciiTheme="minorHAnsi" w:hAnsiTheme="minorHAnsi" w:cstheme="minorHAnsi"/>
                <w:sz w:val="24"/>
                <w:szCs w:val="24"/>
              </w:rPr>
              <w:t xml:space="preserve">; e </w:t>
            </w:r>
            <w:hyperlink r:id="rId48" w:anchor="art96" w:history="1">
              <w:r w:rsidRPr="00EB0EF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96 Lei nº 14.133/2021</w:t>
              </w:r>
            </w:hyperlink>
            <w:r w:rsidRPr="00EB0EF9">
              <w:rPr>
                <w:rFonts w:asciiTheme="minorHAnsi" w:hAnsiTheme="minorHAnsi" w:cstheme="minorHAnsi"/>
                <w:sz w:val="24"/>
                <w:szCs w:val="24"/>
              </w:rPr>
              <w:t>)? A prestação de garantia nas contratações de obras, serviços e fornecimentos deve ser exigida apenas quando prevista no edital. Se exigível a garantia contratual, o futuro contratado pode optar por uma das modalidades previstas em lei.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A0B712" w14:textId="77777777" w:rsidR="0052316E" w:rsidRPr="00934618" w:rsidRDefault="0052316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C085A" w14:textId="77777777" w:rsidR="0052316E" w:rsidRPr="00934618" w:rsidRDefault="0052316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765A3" w:rsidRPr="00441108" w14:paraId="35CD4FA9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5ECF8" w14:textId="19EAD82C" w:rsidR="004765A3" w:rsidRPr="00EB0EF9" w:rsidRDefault="004765A3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0E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 contrato</w:t>
            </w:r>
            <w:r w:rsidR="00A106F7" w:rsidRPr="00EB0EF9">
              <w:rPr>
                <w:rFonts w:asciiTheme="minorHAnsi" w:hAnsiTheme="minorHAnsi" w:cstheme="minorHAnsi"/>
                <w:sz w:val="24"/>
                <w:szCs w:val="24"/>
              </w:rPr>
              <w:t>, na íntegra,</w:t>
            </w:r>
            <w:r w:rsidRPr="00EB0EF9">
              <w:rPr>
                <w:rFonts w:asciiTheme="minorHAnsi" w:hAnsiTheme="minorHAnsi" w:cstheme="minorHAnsi"/>
                <w:sz w:val="24"/>
                <w:szCs w:val="24"/>
              </w:rPr>
              <w:t xml:space="preserve"> foi divulgado no Portal Nacional de Contratações Públicas (PNCP) (</w:t>
            </w:r>
            <w:hyperlink r:id="rId49" w:anchor="art94" w:history="1">
              <w:r w:rsidR="009C6D0F" w:rsidRPr="00EB0EF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</w:t>
              </w:r>
              <w:r w:rsidRPr="00EB0EF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rt. 94, </w:t>
              </w:r>
              <w:r w:rsidRPr="00EB0EF9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caput</w:t>
              </w:r>
              <w:r w:rsidRPr="00EB0EF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 I, e §3º, Lei nº 14.133/2021</w:t>
              </w:r>
            </w:hyperlink>
            <w:r w:rsidRPr="00EB0EF9">
              <w:rPr>
                <w:rFonts w:asciiTheme="minorHAnsi" w:hAnsiTheme="minorHAnsi" w:cstheme="minorHAnsi"/>
                <w:sz w:val="24"/>
                <w:szCs w:val="24"/>
              </w:rPr>
              <w:t>)?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80B2D1" w14:textId="378C6733" w:rsidR="004765A3" w:rsidRPr="00441EAF" w:rsidRDefault="004765A3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8FC22" w14:textId="77777777" w:rsidR="004765A3" w:rsidRPr="00441EAF" w:rsidRDefault="004765A3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683FC2" w:rsidRPr="00441108" w14:paraId="5F2980B6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F472B" w14:textId="2B7439BD" w:rsidR="00683FC2" w:rsidRPr="00EB0EF9" w:rsidRDefault="009C6D0F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0EF9">
              <w:rPr>
                <w:rFonts w:asciiTheme="minorHAnsi" w:hAnsiTheme="minorHAnsi" w:cstheme="minorHAnsi"/>
                <w:sz w:val="24"/>
                <w:szCs w:val="24"/>
              </w:rPr>
              <w:t>O extrato do contrato foi divulgado no Diário Oficial d</w:t>
            </w:r>
            <w:r w:rsidR="00115821" w:rsidRPr="00EB0EF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EB0EF9">
              <w:rPr>
                <w:rFonts w:asciiTheme="minorHAnsi" w:hAnsiTheme="minorHAnsi" w:cstheme="minorHAnsi"/>
                <w:sz w:val="24"/>
                <w:szCs w:val="24"/>
              </w:rPr>
              <w:t xml:space="preserve"> Município de Goiânia?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3A19C2" w14:textId="205FE699" w:rsidR="00683FC2" w:rsidRPr="00441EAF" w:rsidRDefault="00683FC2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AF8D9" w14:textId="77777777" w:rsidR="00683FC2" w:rsidRPr="00441EAF" w:rsidRDefault="00683FC2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9C6D0F" w:rsidRPr="00441108" w14:paraId="7896DF55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D3A7C" w14:textId="5AA8F0C9" w:rsidR="009C6D0F" w:rsidRPr="00EB0EF9" w:rsidRDefault="009C6D0F" w:rsidP="001C431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0EF9">
              <w:rPr>
                <w:rFonts w:asciiTheme="minorHAnsi" w:hAnsiTheme="minorHAnsi" w:cstheme="minorHAnsi"/>
                <w:sz w:val="24"/>
                <w:szCs w:val="24"/>
              </w:rPr>
              <w:t>O contrato, na íntegra, foi divulgado no sítio eletrônico oficial do Município de Goiânia?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D998B6" w14:textId="1A1E319C" w:rsidR="009C6D0F" w:rsidRPr="00441EAF" w:rsidRDefault="009C6D0F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46D03" w14:textId="77777777" w:rsidR="009C6D0F" w:rsidRPr="00441EAF" w:rsidRDefault="009C6D0F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3C6B1E" w:rsidRPr="00441108" w14:paraId="255D7B40" w14:textId="77777777" w:rsidTr="00544647">
        <w:trPr>
          <w:trHeight w:val="454"/>
          <w:jc w:val="center"/>
        </w:trPr>
        <w:tc>
          <w:tcPr>
            <w:tcW w:w="108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5210DB" w14:textId="17090E75" w:rsidR="003C6B1E" w:rsidRPr="00934618" w:rsidRDefault="003C6B1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34618"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>Documentos específicos, conforme o objeto da arp</w:t>
            </w:r>
          </w:p>
        </w:tc>
      </w:tr>
      <w:tr w:rsidR="004B07AE" w:rsidRPr="00441108" w14:paraId="0895559E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2CD02" w14:textId="45026E8E" w:rsidR="004B07AE" w:rsidRPr="003A7E00" w:rsidRDefault="00FD05F7" w:rsidP="00BC6E83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 for o caso, consta </w:t>
            </w:r>
            <w:r w:rsidR="004B07AE" w:rsidRPr="003A7E00">
              <w:rPr>
                <w:rFonts w:asciiTheme="minorHAnsi" w:hAnsiTheme="minorHAnsi" w:cstheme="minorHAnsi"/>
                <w:sz w:val="24"/>
                <w:szCs w:val="24"/>
              </w:rPr>
              <w:t>Parecer da SECOM</w:t>
            </w:r>
            <w:r w:rsidR="003A7E00" w:rsidRPr="003A7E00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4B07AE" w:rsidRPr="003A7E00">
              <w:rPr>
                <w:rFonts w:asciiTheme="minorHAnsi" w:hAnsiTheme="minorHAnsi" w:cstheme="minorHAnsi"/>
                <w:sz w:val="24"/>
                <w:szCs w:val="24"/>
              </w:rPr>
              <w:t xml:space="preserve"> Caso o objeto da </w:t>
            </w:r>
            <w:r w:rsidR="00D646E8" w:rsidRPr="003A7E00">
              <w:rPr>
                <w:rFonts w:asciiTheme="minorHAnsi" w:hAnsiTheme="minorHAnsi" w:cstheme="minorHAnsi"/>
                <w:sz w:val="24"/>
                <w:szCs w:val="24"/>
              </w:rPr>
              <w:t>ARP</w:t>
            </w:r>
            <w:r w:rsidR="004B07AE" w:rsidRPr="003A7E00">
              <w:rPr>
                <w:rFonts w:asciiTheme="minorHAnsi" w:hAnsiTheme="minorHAnsi" w:cstheme="minorHAnsi"/>
                <w:sz w:val="24"/>
                <w:szCs w:val="24"/>
              </w:rPr>
              <w:t xml:space="preserve"> pretendida envolva o uso da imagem do brasão do Município de Goiânia, é necessário apresentar o parecer da SECOM sobre a conformidade com o Manual de Identidade Visual da Prefeitura de Goiânia, estabelecido na </w:t>
            </w:r>
            <w:hyperlink r:id="rId50" w:history="1">
              <w:r w:rsidR="004B07AE" w:rsidRPr="009E1ED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Lei nº 9.242, de 12 de março de 2013</w:t>
              </w:r>
            </w:hyperlink>
            <w:r w:rsidR="004B07AE" w:rsidRPr="003A7E0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C169AE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FAE7A" w14:textId="2862075E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7AE" w:rsidRPr="00441108" w14:paraId="33A5CC25" w14:textId="77777777" w:rsidTr="004B07AE">
        <w:trPr>
          <w:trHeight w:val="454"/>
          <w:jc w:val="center"/>
        </w:trPr>
        <w:tc>
          <w:tcPr>
            <w:tcW w:w="5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05582" w14:textId="7996CC1F" w:rsidR="004B07AE" w:rsidRPr="00934618" w:rsidRDefault="00FD05F7" w:rsidP="00BC6E83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 for o caso, consta </w:t>
            </w:r>
            <w:r w:rsidR="004B07AE" w:rsidRPr="003C5E0D">
              <w:rPr>
                <w:rFonts w:asciiTheme="minorHAnsi" w:hAnsiTheme="minorHAnsi" w:cstheme="minorHAnsi"/>
                <w:sz w:val="24"/>
                <w:szCs w:val="24"/>
              </w:rPr>
              <w:t>Parecer da SICTEC</w:t>
            </w:r>
            <w:r w:rsidR="00427975" w:rsidRPr="003C5E0D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4B07AE" w:rsidRPr="009346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B07AE" w:rsidRPr="0093461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Caso o objeto da A</w:t>
            </w:r>
            <w:r w:rsidR="00E436C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RP</w:t>
            </w:r>
            <w:r w:rsidR="004B07AE" w:rsidRPr="0093461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pretendida </w:t>
            </w:r>
            <w:r w:rsidR="004B07AE" w:rsidRPr="00E436C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envolva </w:t>
            </w:r>
            <w:r w:rsidR="004B07AE" w:rsidRPr="00E436C5">
              <w:rPr>
                <w:rFonts w:asciiTheme="minorHAnsi" w:hAnsiTheme="minorHAnsi" w:cstheme="minorHAnsi"/>
                <w:sz w:val="24"/>
                <w:szCs w:val="24"/>
              </w:rPr>
              <w:t>aquisições de materiais lógicos, serviços e equipamentos de tecnologia da informação (TI), bem como a aquisição e/ou desenvolvimento de softwares</w:t>
            </w:r>
            <w:r w:rsidR="004B07AE" w:rsidRPr="0093461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é necessário </w:t>
            </w:r>
            <w:r w:rsidR="004B07AE" w:rsidRPr="00934618">
              <w:rPr>
                <w:rFonts w:asciiTheme="minorHAnsi" w:hAnsiTheme="minorHAnsi" w:cstheme="minorHAnsi"/>
                <w:sz w:val="24"/>
                <w:szCs w:val="24"/>
              </w:rPr>
              <w:t xml:space="preserve">apresentar o parecer técnico da SICTEC, de acordo com o </w:t>
            </w:r>
            <w:hyperlink r:id="rId51" w:history="1">
              <w:r w:rsidR="004B07AE" w:rsidRPr="009E1ED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Decreto nº 834, de 29 de janeiro de 2021</w:t>
              </w:r>
            </w:hyperlink>
            <w:r w:rsidR="004B07AE" w:rsidRPr="009346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C459C7" w14:textId="77777777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D2CA0" w14:textId="3E000B75" w:rsidR="004B07AE" w:rsidRPr="00934618" w:rsidRDefault="004B07AE" w:rsidP="00B771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2ED8BE1" w14:textId="77777777" w:rsidR="002B3B47" w:rsidRDefault="002B3B47" w:rsidP="002B3B47">
      <w:pPr>
        <w:spacing w:after="120"/>
        <w:ind w:left="-426" w:right="-568"/>
        <w:jc w:val="center"/>
        <w:rPr>
          <w:b/>
          <w:color w:val="000000"/>
          <w:sz w:val="18"/>
          <w:szCs w:val="18"/>
        </w:rPr>
      </w:pPr>
    </w:p>
    <w:p w14:paraId="11003CDE" w14:textId="77777777" w:rsidR="002B3B47" w:rsidRPr="002B3B47" w:rsidRDefault="002B3B47" w:rsidP="00AF0A6E">
      <w:pPr>
        <w:pStyle w:val="Default"/>
        <w:spacing w:before="60" w:after="60"/>
        <w:jc w:val="both"/>
        <w:rPr>
          <w:rFonts w:asciiTheme="minorHAnsi" w:hAnsiTheme="minorHAnsi" w:cstheme="minorHAnsi"/>
          <w:color w:val="auto"/>
          <w:lang w:val="pt-PT"/>
        </w:rPr>
      </w:pPr>
    </w:p>
    <w:p w14:paraId="182984A0" w14:textId="77777777" w:rsidR="002B3B47" w:rsidRDefault="002B3B47" w:rsidP="00AF0A6E">
      <w:pPr>
        <w:pStyle w:val="Default"/>
        <w:spacing w:before="60" w:after="60"/>
        <w:jc w:val="both"/>
        <w:rPr>
          <w:rFonts w:asciiTheme="minorHAnsi" w:hAnsiTheme="minorHAnsi" w:cstheme="minorHAnsi"/>
          <w:color w:val="auto"/>
        </w:rPr>
      </w:pPr>
    </w:p>
    <w:p w14:paraId="021DF098" w14:textId="67BDBB0B" w:rsidR="00CD3FE3" w:rsidRPr="00CD3FE3" w:rsidRDefault="00CD3FE3" w:rsidP="00CD3FE3">
      <w:pPr>
        <w:pStyle w:val="Ttulo3"/>
        <w:spacing w:before="62"/>
        <w:ind w:right="304"/>
        <w:jc w:val="right"/>
        <w:rPr>
          <w:rFonts w:asciiTheme="minorHAnsi" w:hAnsiTheme="minorHAnsi" w:cstheme="minorHAnsi"/>
          <w:b/>
          <w:bCs/>
          <w:color w:val="FF0000"/>
        </w:rPr>
      </w:pPr>
      <w:bookmarkStart w:id="1" w:name="_Hlk170229880"/>
      <w:r w:rsidRPr="00CD3FE3">
        <w:rPr>
          <w:rFonts w:asciiTheme="minorHAnsi" w:hAnsiTheme="minorHAnsi" w:cstheme="minorHAnsi"/>
          <w:b/>
          <w:bCs/>
          <w:color w:val="FF0000"/>
          <w:w w:val="105"/>
        </w:rPr>
        <w:t>VERSÃO</w:t>
      </w:r>
      <w:r w:rsidRPr="00CD3FE3">
        <w:rPr>
          <w:rFonts w:asciiTheme="minorHAnsi" w:hAnsiTheme="minorHAnsi" w:cstheme="minorHAnsi"/>
          <w:b/>
          <w:bCs/>
          <w:color w:val="FF0000"/>
          <w:spacing w:val="-13"/>
          <w:w w:val="105"/>
        </w:rPr>
        <w:t xml:space="preserve"> </w:t>
      </w:r>
      <w:r w:rsidRPr="00CD3FE3">
        <w:rPr>
          <w:rFonts w:asciiTheme="minorHAnsi" w:hAnsiTheme="minorHAnsi" w:cstheme="minorHAnsi"/>
          <w:b/>
          <w:bCs/>
          <w:color w:val="FF0000"/>
          <w:w w:val="105"/>
        </w:rPr>
        <w:t>1</w:t>
      </w:r>
      <w:r w:rsidRPr="00CD3FE3">
        <w:rPr>
          <w:rFonts w:asciiTheme="minorHAnsi" w:hAnsiTheme="minorHAnsi" w:cstheme="minorHAnsi"/>
          <w:b/>
          <w:bCs/>
          <w:color w:val="FF0000"/>
          <w:spacing w:val="-12"/>
          <w:w w:val="105"/>
        </w:rPr>
        <w:t xml:space="preserve"> </w:t>
      </w:r>
      <w:r w:rsidRPr="00CD3FE3">
        <w:rPr>
          <w:rFonts w:asciiTheme="minorHAnsi" w:hAnsiTheme="minorHAnsi" w:cstheme="minorHAnsi"/>
          <w:b/>
          <w:bCs/>
          <w:color w:val="FF0000"/>
          <w:w w:val="105"/>
        </w:rPr>
        <w:t>-</w:t>
      </w:r>
      <w:r w:rsidRPr="00CD3FE3">
        <w:rPr>
          <w:rFonts w:asciiTheme="minorHAnsi" w:hAnsiTheme="minorHAnsi" w:cstheme="minorHAnsi"/>
          <w:b/>
          <w:bCs/>
          <w:color w:val="FF0000"/>
          <w:spacing w:val="-12"/>
          <w:w w:val="105"/>
        </w:rPr>
        <w:t xml:space="preserve"> </w:t>
      </w:r>
      <w:r w:rsidR="009B34D1">
        <w:rPr>
          <w:rFonts w:asciiTheme="minorHAnsi" w:hAnsiTheme="minorHAnsi" w:cstheme="minorHAnsi"/>
          <w:b/>
          <w:bCs/>
          <w:color w:val="FF0000"/>
          <w:w w:val="105"/>
        </w:rPr>
        <w:t>SET</w:t>
      </w:r>
      <w:r w:rsidRPr="00CD3FE3">
        <w:rPr>
          <w:rFonts w:asciiTheme="minorHAnsi" w:hAnsiTheme="minorHAnsi" w:cstheme="minorHAnsi"/>
          <w:b/>
          <w:bCs/>
          <w:color w:val="FF0000"/>
          <w:w w:val="105"/>
        </w:rPr>
        <w:t>/2024</w:t>
      </w:r>
      <w:bookmarkEnd w:id="1"/>
    </w:p>
    <w:p w14:paraId="79C85F49" w14:textId="0DBA8BFC" w:rsidR="00160627" w:rsidRPr="00E86CB2" w:rsidRDefault="00160627" w:rsidP="00CD3FE3">
      <w:pPr>
        <w:pStyle w:val="Corpodetexto"/>
        <w:spacing w:line="336" w:lineRule="auto"/>
        <w:ind w:right="129" w:firstLine="1134"/>
        <w:jc w:val="both"/>
        <w:rPr>
          <w:rFonts w:asciiTheme="minorHAnsi" w:hAnsiTheme="minorHAnsi" w:cstheme="minorHAnsi"/>
          <w:color w:val="FF0000"/>
          <w:sz w:val="18"/>
        </w:rPr>
      </w:pPr>
    </w:p>
    <w:sectPr w:rsidR="00160627" w:rsidRPr="00E86CB2" w:rsidSect="00AA2A34">
      <w:endnotePr>
        <w:numFmt w:val="decimal"/>
      </w:endnotePr>
      <w:type w:val="continuous"/>
      <w:pgSz w:w="11900" w:h="16840"/>
      <w:pgMar w:top="540" w:right="560" w:bottom="380" w:left="46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C319A" w14:textId="77777777" w:rsidR="0093318D" w:rsidRDefault="0093318D">
      <w:r>
        <w:separator/>
      </w:r>
    </w:p>
  </w:endnote>
  <w:endnote w:type="continuationSeparator" w:id="0">
    <w:p w14:paraId="3D53F6DA" w14:textId="77777777" w:rsidR="0093318D" w:rsidRDefault="0093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FC26" w14:textId="4C6E3A48" w:rsidR="00160627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1C73E" wp14:editId="21954016">
              <wp:simplePos x="0" y="0"/>
              <wp:positionH relativeFrom="page">
                <wp:posOffset>617156</wp:posOffset>
              </wp:positionH>
              <wp:positionV relativeFrom="page">
                <wp:posOffset>10438730</wp:posOffset>
              </wp:positionV>
              <wp:extent cx="43459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59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7CD66" w14:textId="1DA48AD1" w:rsidR="00160627" w:rsidRDefault="00160627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1C7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.6pt;margin-top:821.95pt;width:342.2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" filled="f" stroked="f">
              <v:textbox inset="0,0,0,0">
                <w:txbxContent>
                  <w:p w14:paraId="6AC7CD66" w14:textId="1DA48AD1" w:rsidR="00160627" w:rsidRDefault="00160627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BEA4F" w14:textId="77777777" w:rsidR="0093318D" w:rsidRDefault="0093318D">
      <w:r>
        <w:separator/>
      </w:r>
    </w:p>
  </w:footnote>
  <w:footnote w:type="continuationSeparator" w:id="0">
    <w:p w14:paraId="27874E13" w14:textId="77777777" w:rsidR="0093318D" w:rsidRDefault="00933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C1EA2"/>
    <w:multiLevelType w:val="multilevel"/>
    <w:tmpl w:val="A808E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E53CD"/>
    <w:multiLevelType w:val="hybridMultilevel"/>
    <w:tmpl w:val="86A880DC"/>
    <w:lvl w:ilvl="0" w:tplc="18FE3862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DB44FE"/>
    <w:multiLevelType w:val="multilevel"/>
    <w:tmpl w:val="5846008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5D39D6"/>
    <w:multiLevelType w:val="hybridMultilevel"/>
    <w:tmpl w:val="BF48E3DE"/>
    <w:lvl w:ilvl="0" w:tplc="5608D5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39F6"/>
    <w:multiLevelType w:val="hybridMultilevel"/>
    <w:tmpl w:val="DBA6EE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3B7B"/>
    <w:multiLevelType w:val="hybridMultilevel"/>
    <w:tmpl w:val="B4DA89F4"/>
    <w:lvl w:ilvl="0" w:tplc="12DA7248">
      <w:start w:val="1"/>
      <w:numFmt w:val="lowerRoman"/>
      <w:suff w:val="nothing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D6A18"/>
    <w:multiLevelType w:val="multilevel"/>
    <w:tmpl w:val="53E867C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C100D"/>
    <w:multiLevelType w:val="multilevel"/>
    <w:tmpl w:val="97263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01" w:firstLine="142"/>
      </w:pPr>
      <w:rPr>
        <w:rFonts w:hint="default"/>
        <w:b w:val="0"/>
        <w:bCs w:val="0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B76D5C"/>
    <w:multiLevelType w:val="multilevel"/>
    <w:tmpl w:val="A808E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444E11"/>
    <w:multiLevelType w:val="multilevel"/>
    <w:tmpl w:val="BA74A37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7E0AAB"/>
    <w:multiLevelType w:val="hybridMultilevel"/>
    <w:tmpl w:val="FF1452B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29C3F75"/>
    <w:multiLevelType w:val="hybridMultilevel"/>
    <w:tmpl w:val="BBB006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E491B"/>
    <w:multiLevelType w:val="multilevel"/>
    <w:tmpl w:val="BA9A391E"/>
    <w:lvl w:ilvl="0">
      <w:start w:val="1"/>
      <w:numFmt w:val="decimal"/>
      <w:lvlText w:val="(   ) 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36C2991"/>
    <w:multiLevelType w:val="hybridMultilevel"/>
    <w:tmpl w:val="D65AE9EE"/>
    <w:lvl w:ilvl="0" w:tplc="5608D584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3AA3"/>
    <w:multiLevelType w:val="hybridMultilevel"/>
    <w:tmpl w:val="7C3C7B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60C7"/>
    <w:multiLevelType w:val="hybridMultilevel"/>
    <w:tmpl w:val="1CF2E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B6CB4"/>
    <w:multiLevelType w:val="hybridMultilevel"/>
    <w:tmpl w:val="FF1C6654"/>
    <w:lvl w:ilvl="0" w:tplc="3CBA3C1A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A023A"/>
    <w:multiLevelType w:val="hybridMultilevel"/>
    <w:tmpl w:val="B102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F041F"/>
    <w:multiLevelType w:val="hybridMultilevel"/>
    <w:tmpl w:val="AFC48AEC"/>
    <w:lvl w:ilvl="0" w:tplc="2774E53A">
      <w:numFmt w:val="bullet"/>
      <w:lvlText w:val="·"/>
      <w:lvlJc w:val="left"/>
      <w:pPr>
        <w:ind w:left="1296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77"/>
        <w:sz w:val="21"/>
        <w:szCs w:val="21"/>
        <w:lang w:val="pt-PT" w:eastAsia="en-US" w:bidi="ar-SA"/>
      </w:rPr>
    </w:lvl>
    <w:lvl w:ilvl="1" w:tplc="87487754">
      <w:numFmt w:val="bullet"/>
      <w:lvlText w:val="•"/>
      <w:lvlJc w:val="left"/>
      <w:pPr>
        <w:ind w:left="2138" w:hanging="121"/>
      </w:pPr>
      <w:rPr>
        <w:rFonts w:hint="default"/>
        <w:lang w:val="pt-PT" w:eastAsia="en-US" w:bidi="ar-SA"/>
      </w:rPr>
    </w:lvl>
    <w:lvl w:ilvl="2" w:tplc="33DAAF38">
      <w:numFmt w:val="bullet"/>
      <w:lvlText w:val="•"/>
      <w:lvlJc w:val="left"/>
      <w:pPr>
        <w:ind w:left="2977" w:hanging="121"/>
      </w:pPr>
      <w:rPr>
        <w:rFonts w:hint="default"/>
        <w:lang w:val="pt-PT" w:eastAsia="en-US" w:bidi="ar-SA"/>
      </w:rPr>
    </w:lvl>
    <w:lvl w:ilvl="3" w:tplc="7E8659EC">
      <w:numFmt w:val="bullet"/>
      <w:pStyle w:val="Ttulo4"/>
      <w:lvlText w:val="•"/>
      <w:lvlJc w:val="left"/>
      <w:pPr>
        <w:ind w:left="3816" w:hanging="121"/>
      </w:pPr>
      <w:rPr>
        <w:rFonts w:hint="default"/>
        <w:lang w:val="pt-PT" w:eastAsia="en-US" w:bidi="ar-SA"/>
      </w:rPr>
    </w:lvl>
    <w:lvl w:ilvl="4" w:tplc="32B82750">
      <w:numFmt w:val="bullet"/>
      <w:lvlText w:val="•"/>
      <w:lvlJc w:val="left"/>
      <w:pPr>
        <w:ind w:left="4654" w:hanging="121"/>
      </w:pPr>
      <w:rPr>
        <w:rFonts w:hint="default"/>
        <w:lang w:val="pt-PT" w:eastAsia="en-US" w:bidi="ar-SA"/>
      </w:rPr>
    </w:lvl>
    <w:lvl w:ilvl="5" w:tplc="9D3A4460">
      <w:numFmt w:val="bullet"/>
      <w:lvlText w:val="•"/>
      <w:lvlJc w:val="left"/>
      <w:pPr>
        <w:ind w:left="5493" w:hanging="121"/>
      </w:pPr>
      <w:rPr>
        <w:rFonts w:hint="default"/>
        <w:lang w:val="pt-PT" w:eastAsia="en-US" w:bidi="ar-SA"/>
      </w:rPr>
    </w:lvl>
    <w:lvl w:ilvl="6" w:tplc="688C562C">
      <w:numFmt w:val="bullet"/>
      <w:lvlText w:val="•"/>
      <w:lvlJc w:val="left"/>
      <w:pPr>
        <w:ind w:left="6332" w:hanging="121"/>
      </w:pPr>
      <w:rPr>
        <w:rFonts w:hint="default"/>
        <w:lang w:val="pt-PT" w:eastAsia="en-US" w:bidi="ar-SA"/>
      </w:rPr>
    </w:lvl>
    <w:lvl w:ilvl="7" w:tplc="60BEBDCA">
      <w:numFmt w:val="bullet"/>
      <w:lvlText w:val="•"/>
      <w:lvlJc w:val="left"/>
      <w:pPr>
        <w:ind w:left="7170" w:hanging="121"/>
      </w:pPr>
      <w:rPr>
        <w:rFonts w:hint="default"/>
        <w:lang w:val="pt-PT" w:eastAsia="en-US" w:bidi="ar-SA"/>
      </w:rPr>
    </w:lvl>
    <w:lvl w:ilvl="8" w:tplc="75409562">
      <w:numFmt w:val="bullet"/>
      <w:lvlText w:val="•"/>
      <w:lvlJc w:val="left"/>
      <w:pPr>
        <w:ind w:left="8009" w:hanging="121"/>
      </w:pPr>
      <w:rPr>
        <w:rFonts w:hint="default"/>
        <w:lang w:val="pt-PT" w:eastAsia="en-US" w:bidi="ar-SA"/>
      </w:rPr>
    </w:lvl>
  </w:abstractNum>
  <w:num w:numId="1" w16cid:durableId="1107694383">
    <w:abstractNumId w:val="19"/>
  </w:num>
  <w:num w:numId="2" w16cid:durableId="703094150">
    <w:abstractNumId w:val="11"/>
  </w:num>
  <w:num w:numId="3" w16cid:durableId="951935511">
    <w:abstractNumId w:val="0"/>
  </w:num>
  <w:num w:numId="4" w16cid:durableId="1463420910">
    <w:abstractNumId w:val="2"/>
  </w:num>
  <w:num w:numId="5" w16cid:durableId="1915159096">
    <w:abstractNumId w:val="14"/>
  </w:num>
  <w:num w:numId="6" w16cid:durableId="1478718069">
    <w:abstractNumId w:val="17"/>
  </w:num>
  <w:num w:numId="7" w16cid:durableId="1069692291">
    <w:abstractNumId w:val="6"/>
  </w:num>
  <w:num w:numId="8" w16cid:durableId="335351260">
    <w:abstractNumId w:val="16"/>
  </w:num>
  <w:num w:numId="9" w16cid:durableId="1463428901">
    <w:abstractNumId w:val="10"/>
  </w:num>
  <w:num w:numId="10" w16cid:durableId="1698503872">
    <w:abstractNumId w:val="9"/>
  </w:num>
  <w:num w:numId="11" w16cid:durableId="747383373">
    <w:abstractNumId w:val="1"/>
  </w:num>
  <w:num w:numId="12" w16cid:durableId="370301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4020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12627">
    <w:abstractNumId w:val="8"/>
  </w:num>
  <w:num w:numId="15" w16cid:durableId="1956911285">
    <w:abstractNumId w:val="18"/>
  </w:num>
  <w:num w:numId="16" w16cid:durableId="2062096050">
    <w:abstractNumId w:val="12"/>
  </w:num>
  <w:num w:numId="17" w16cid:durableId="1263344376">
    <w:abstractNumId w:val="13"/>
  </w:num>
  <w:num w:numId="18" w16cid:durableId="2053454013">
    <w:abstractNumId w:val="4"/>
  </w:num>
  <w:num w:numId="19" w16cid:durableId="1578710207">
    <w:abstractNumId w:val="5"/>
  </w:num>
  <w:num w:numId="20" w16cid:durableId="731461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627"/>
    <w:rsid w:val="00004E4C"/>
    <w:rsid w:val="00005BF1"/>
    <w:rsid w:val="00005D84"/>
    <w:rsid w:val="000106DF"/>
    <w:rsid w:val="0001245E"/>
    <w:rsid w:val="00013298"/>
    <w:rsid w:val="00016940"/>
    <w:rsid w:val="00020A9B"/>
    <w:rsid w:val="00025CB3"/>
    <w:rsid w:val="00030161"/>
    <w:rsid w:val="00035019"/>
    <w:rsid w:val="00043038"/>
    <w:rsid w:val="000517B3"/>
    <w:rsid w:val="00060121"/>
    <w:rsid w:val="000608D1"/>
    <w:rsid w:val="000611EB"/>
    <w:rsid w:val="0006588B"/>
    <w:rsid w:val="000726E2"/>
    <w:rsid w:val="00073BF1"/>
    <w:rsid w:val="0008098A"/>
    <w:rsid w:val="00085D98"/>
    <w:rsid w:val="000877F7"/>
    <w:rsid w:val="00094F94"/>
    <w:rsid w:val="000A30A8"/>
    <w:rsid w:val="000A41FD"/>
    <w:rsid w:val="000A7BE2"/>
    <w:rsid w:val="000D09AB"/>
    <w:rsid w:val="000D2856"/>
    <w:rsid w:val="000D31AE"/>
    <w:rsid w:val="000E1BAC"/>
    <w:rsid w:val="000E3086"/>
    <w:rsid w:val="000E652D"/>
    <w:rsid w:val="000F0AAA"/>
    <w:rsid w:val="000F4AF8"/>
    <w:rsid w:val="00100276"/>
    <w:rsid w:val="0010314E"/>
    <w:rsid w:val="00111D6D"/>
    <w:rsid w:val="00115821"/>
    <w:rsid w:val="00117020"/>
    <w:rsid w:val="001211FB"/>
    <w:rsid w:val="001237C3"/>
    <w:rsid w:val="00131582"/>
    <w:rsid w:val="00135300"/>
    <w:rsid w:val="00152370"/>
    <w:rsid w:val="00160627"/>
    <w:rsid w:val="00164603"/>
    <w:rsid w:val="001647D3"/>
    <w:rsid w:val="00165299"/>
    <w:rsid w:val="001750A8"/>
    <w:rsid w:val="00181CAF"/>
    <w:rsid w:val="00184864"/>
    <w:rsid w:val="00187C5A"/>
    <w:rsid w:val="00194B12"/>
    <w:rsid w:val="00194D38"/>
    <w:rsid w:val="001B7EF8"/>
    <w:rsid w:val="001B7F1C"/>
    <w:rsid w:val="001C2269"/>
    <w:rsid w:val="001C4316"/>
    <w:rsid w:val="001C592C"/>
    <w:rsid w:val="001D1872"/>
    <w:rsid w:val="001D3C30"/>
    <w:rsid w:val="001D5854"/>
    <w:rsid w:val="001E09C6"/>
    <w:rsid w:val="001E366A"/>
    <w:rsid w:val="001E4187"/>
    <w:rsid w:val="0021330A"/>
    <w:rsid w:val="002136EF"/>
    <w:rsid w:val="00214469"/>
    <w:rsid w:val="002149AA"/>
    <w:rsid w:val="002311C3"/>
    <w:rsid w:val="00233303"/>
    <w:rsid w:val="002361B4"/>
    <w:rsid w:val="0024054C"/>
    <w:rsid w:val="00240A39"/>
    <w:rsid w:val="0024717A"/>
    <w:rsid w:val="00247768"/>
    <w:rsid w:val="00252763"/>
    <w:rsid w:val="00264C17"/>
    <w:rsid w:val="00265EE0"/>
    <w:rsid w:val="0026700B"/>
    <w:rsid w:val="00267BFD"/>
    <w:rsid w:val="00271D55"/>
    <w:rsid w:val="00273B66"/>
    <w:rsid w:val="00275DAC"/>
    <w:rsid w:val="002845BA"/>
    <w:rsid w:val="00292C11"/>
    <w:rsid w:val="002A17EF"/>
    <w:rsid w:val="002B257A"/>
    <w:rsid w:val="002B2C1F"/>
    <w:rsid w:val="002B3B47"/>
    <w:rsid w:val="002B607A"/>
    <w:rsid w:val="002C5DF8"/>
    <w:rsid w:val="002D41BD"/>
    <w:rsid w:val="002E34CD"/>
    <w:rsid w:val="002F1DAC"/>
    <w:rsid w:val="002F2895"/>
    <w:rsid w:val="002F2B3C"/>
    <w:rsid w:val="002F49D6"/>
    <w:rsid w:val="00304C82"/>
    <w:rsid w:val="00305CE3"/>
    <w:rsid w:val="00313BF8"/>
    <w:rsid w:val="003229D4"/>
    <w:rsid w:val="00326E40"/>
    <w:rsid w:val="00327372"/>
    <w:rsid w:val="003359BE"/>
    <w:rsid w:val="00346979"/>
    <w:rsid w:val="00351870"/>
    <w:rsid w:val="00353145"/>
    <w:rsid w:val="00362B71"/>
    <w:rsid w:val="0037200E"/>
    <w:rsid w:val="003744C7"/>
    <w:rsid w:val="00391291"/>
    <w:rsid w:val="00392C70"/>
    <w:rsid w:val="003938DB"/>
    <w:rsid w:val="00393E48"/>
    <w:rsid w:val="00396684"/>
    <w:rsid w:val="003A4D52"/>
    <w:rsid w:val="003A7E00"/>
    <w:rsid w:val="003B44F4"/>
    <w:rsid w:val="003B4C08"/>
    <w:rsid w:val="003B72BF"/>
    <w:rsid w:val="003C249E"/>
    <w:rsid w:val="003C5E0D"/>
    <w:rsid w:val="003C6B1E"/>
    <w:rsid w:val="003D11BF"/>
    <w:rsid w:val="003D509F"/>
    <w:rsid w:val="003D5BC9"/>
    <w:rsid w:val="003D6347"/>
    <w:rsid w:val="003E0375"/>
    <w:rsid w:val="003E509A"/>
    <w:rsid w:val="003F153C"/>
    <w:rsid w:val="00401A43"/>
    <w:rsid w:val="00402144"/>
    <w:rsid w:val="00405F6A"/>
    <w:rsid w:val="0041429A"/>
    <w:rsid w:val="00423D96"/>
    <w:rsid w:val="00427975"/>
    <w:rsid w:val="00427C4F"/>
    <w:rsid w:val="004306D9"/>
    <w:rsid w:val="0043210B"/>
    <w:rsid w:val="004365BA"/>
    <w:rsid w:val="00436CF5"/>
    <w:rsid w:val="00441108"/>
    <w:rsid w:val="00441EAF"/>
    <w:rsid w:val="004421FE"/>
    <w:rsid w:val="0044255A"/>
    <w:rsid w:val="00444F61"/>
    <w:rsid w:val="00447591"/>
    <w:rsid w:val="0044764C"/>
    <w:rsid w:val="0045054D"/>
    <w:rsid w:val="00451F98"/>
    <w:rsid w:val="0045441F"/>
    <w:rsid w:val="0046219C"/>
    <w:rsid w:val="004623CB"/>
    <w:rsid w:val="00467007"/>
    <w:rsid w:val="00471EFF"/>
    <w:rsid w:val="004765A3"/>
    <w:rsid w:val="0047699D"/>
    <w:rsid w:val="0047741B"/>
    <w:rsid w:val="00481193"/>
    <w:rsid w:val="00485339"/>
    <w:rsid w:val="00494E25"/>
    <w:rsid w:val="00497203"/>
    <w:rsid w:val="00497E5A"/>
    <w:rsid w:val="004A0729"/>
    <w:rsid w:val="004B07AE"/>
    <w:rsid w:val="004C0F3A"/>
    <w:rsid w:val="004C40E8"/>
    <w:rsid w:val="004C71E2"/>
    <w:rsid w:val="004E34A3"/>
    <w:rsid w:val="004E642B"/>
    <w:rsid w:val="004E6F16"/>
    <w:rsid w:val="00503728"/>
    <w:rsid w:val="00503C20"/>
    <w:rsid w:val="00503E0E"/>
    <w:rsid w:val="0051121A"/>
    <w:rsid w:val="00514E0C"/>
    <w:rsid w:val="0051760F"/>
    <w:rsid w:val="0052032D"/>
    <w:rsid w:val="0052316E"/>
    <w:rsid w:val="00525381"/>
    <w:rsid w:val="00525FCB"/>
    <w:rsid w:val="00526DC2"/>
    <w:rsid w:val="00527203"/>
    <w:rsid w:val="00543F86"/>
    <w:rsid w:val="00551205"/>
    <w:rsid w:val="00555726"/>
    <w:rsid w:val="0055765A"/>
    <w:rsid w:val="00557C15"/>
    <w:rsid w:val="00562ADB"/>
    <w:rsid w:val="0056650F"/>
    <w:rsid w:val="005708B4"/>
    <w:rsid w:val="005747C8"/>
    <w:rsid w:val="00584E93"/>
    <w:rsid w:val="00584F87"/>
    <w:rsid w:val="0058610A"/>
    <w:rsid w:val="00586875"/>
    <w:rsid w:val="005917AC"/>
    <w:rsid w:val="005A037F"/>
    <w:rsid w:val="005A4D7C"/>
    <w:rsid w:val="005C0EC3"/>
    <w:rsid w:val="005D12DF"/>
    <w:rsid w:val="005D692E"/>
    <w:rsid w:val="005D7EB2"/>
    <w:rsid w:val="005E1CA8"/>
    <w:rsid w:val="005E405E"/>
    <w:rsid w:val="005E48F5"/>
    <w:rsid w:val="005E5DC6"/>
    <w:rsid w:val="005F2438"/>
    <w:rsid w:val="005F27F6"/>
    <w:rsid w:val="005F6B8D"/>
    <w:rsid w:val="00601F53"/>
    <w:rsid w:val="00606107"/>
    <w:rsid w:val="006174B1"/>
    <w:rsid w:val="00641785"/>
    <w:rsid w:val="006527C8"/>
    <w:rsid w:val="00662D00"/>
    <w:rsid w:val="006676F6"/>
    <w:rsid w:val="00667AE1"/>
    <w:rsid w:val="00671245"/>
    <w:rsid w:val="0067136A"/>
    <w:rsid w:val="006737E6"/>
    <w:rsid w:val="00676501"/>
    <w:rsid w:val="00676D3F"/>
    <w:rsid w:val="006831B0"/>
    <w:rsid w:val="00683FC2"/>
    <w:rsid w:val="00685B97"/>
    <w:rsid w:val="00697454"/>
    <w:rsid w:val="006A60EC"/>
    <w:rsid w:val="006B0B05"/>
    <w:rsid w:val="006B0E2E"/>
    <w:rsid w:val="006C7037"/>
    <w:rsid w:val="006D01EB"/>
    <w:rsid w:val="006E0280"/>
    <w:rsid w:val="006E047E"/>
    <w:rsid w:val="006E0712"/>
    <w:rsid w:val="006E5781"/>
    <w:rsid w:val="006F4A64"/>
    <w:rsid w:val="006F5F61"/>
    <w:rsid w:val="00701213"/>
    <w:rsid w:val="00702027"/>
    <w:rsid w:val="00702AB5"/>
    <w:rsid w:val="007031F3"/>
    <w:rsid w:val="00705AB2"/>
    <w:rsid w:val="00712764"/>
    <w:rsid w:val="00713C9F"/>
    <w:rsid w:val="00716CC6"/>
    <w:rsid w:val="00725444"/>
    <w:rsid w:val="007360D4"/>
    <w:rsid w:val="007408EA"/>
    <w:rsid w:val="007440AA"/>
    <w:rsid w:val="00746C8D"/>
    <w:rsid w:val="00756EFD"/>
    <w:rsid w:val="007578CB"/>
    <w:rsid w:val="0076133B"/>
    <w:rsid w:val="00764B52"/>
    <w:rsid w:val="00771978"/>
    <w:rsid w:val="0077577F"/>
    <w:rsid w:val="00784921"/>
    <w:rsid w:val="00791D0D"/>
    <w:rsid w:val="0079203C"/>
    <w:rsid w:val="007A01BC"/>
    <w:rsid w:val="007A5E89"/>
    <w:rsid w:val="007A66F4"/>
    <w:rsid w:val="007A6E4F"/>
    <w:rsid w:val="007B0D7D"/>
    <w:rsid w:val="007B28B4"/>
    <w:rsid w:val="007D0FBD"/>
    <w:rsid w:val="007E127D"/>
    <w:rsid w:val="007E2EDA"/>
    <w:rsid w:val="007E5942"/>
    <w:rsid w:val="007E7407"/>
    <w:rsid w:val="007F1DD7"/>
    <w:rsid w:val="007F74B2"/>
    <w:rsid w:val="00805084"/>
    <w:rsid w:val="00805A57"/>
    <w:rsid w:val="00806733"/>
    <w:rsid w:val="008122C6"/>
    <w:rsid w:val="008129F7"/>
    <w:rsid w:val="00817EF6"/>
    <w:rsid w:val="00824FDC"/>
    <w:rsid w:val="00836443"/>
    <w:rsid w:val="00847D22"/>
    <w:rsid w:val="0085209B"/>
    <w:rsid w:val="00852FF2"/>
    <w:rsid w:val="008559EF"/>
    <w:rsid w:val="00857696"/>
    <w:rsid w:val="00860847"/>
    <w:rsid w:val="00866532"/>
    <w:rsid w:val="0086795B"/>
    <w:rsid w:val="00874410"/>
    <w:rsid w:val="00874C53"/>
    <w:rsid w:val="0087558D"/>
    <w:rsid w:val="00875938"/>
    <w:rsid w:val="00883388"/>
    <w:rsid w:val="00885E69"/>
    <w:rsid w:val="00891986"/>
    <w:rsid w:val="00896D33"/>
    <w:rsid w:val="008A20E7"/>
    <w:rsid w:val="008A281E"/>
    <w:rsid w:val="008A7D67"/>
    <w:rsid w:val="008B1238"/>
    <w:rsid w:val="008B1AD7"/>
    <w:rsid w:val="008C7284"/>
    <w:rsid w:val="008C773E"/>
    <w:rsid w:val="008D0271"/>
    <w:rsid w:val="008D1451"/>
    <w:rsid w:val="008D3C40"/>
    <w:rsid w:val="008D6779"/>
    <w:rsid w:val="008E0159"/>
    <w:rsid w:val="008E17A6"/>
    <w:rsid w:val="008E2E09"/>
    <w:rsid w:val="008E6629"/>
    <w:rsid w:val="008F01B0"/>
    <w:rsid w:val="008F0AC1"/>
    <w:rsid w:val="008F38D6"/>
    <w:rsid w:val="008F4052"/>
    <w:rsid w:val="008F597F"/>
    <w:rsid w:val="00903F80"/>
    <w:rsid w:val="0090424B"/>
    <w:rsid w:val="00904EB2"/>
    <w:rsid w:val="009123FC"/>
    <w:rsid w:val="009163A5"/>
    <w:rsid w:val="0091670B"/>
    <w:rsid w:val="0091687F"/>
    <w:rsid w:val="009168AD"/>
    <w:rsid w:val="00924768"/>
    <w:rsid w:val="00925FFE"/>
    <w:rsid w:val="0093318D"/>
    <w:rsid w:val="009338C0"/>
    <w:rsid w:val="00933EB5"/>
    <w:rsid w:val="00934618"/>
    <w:rsid w:val="00937857"/>
    <w:rsid w:val="00945ADC"/>
    <w:rsid w:val="0095529C"/>
    <w:rsid w:val="00961E0D"/>
    <w:rsid w:val="009707F5"/>
    <w:rsid w:val="009754D5"/>
    <w:rsid w:val="0098047F"/>
    <w:rsid w:val="00981444"/>
    <w:rsid w:val="009A2EBB"/>
    <w:rsid w:val="009B2688"/>
    <w:rsid w:val="009B34D1"/>
    <w:rsid w:val="009B5C3D"/>
    <w:rsid w:val="009C1492"/>
    <w:rsid w:val="009C3B1B"/>
    <w:rsid w:val="009C6D0F"/>
    <w:rsid w:val="009D456F"/>
    <w:rsid w:val="009E0CD9"/>
    <w:rsid w:val="009E1ED0"/>
    <w:rsid w:val="009E3184"/>
    <w:rsid w:val="009F1D06"/>
    <w:rsid w:val="009F5FC2"/>
    <w:rsid w:val="00A06D9C"/>
    <w:rsid w:val="00A106F7"/>
    <w:rsid w:val="00A14C12"/>
    <w:rsid w:val="00A160BF"/>
    <w:rsid w:val="00A22E07"/>
    <w:rsid w:val="00A24738"/>
    <w:rsid w:val="00A24ADE"/>
    <w:rsid w:val="00A253A3"/>
    <w:rsid w:val="00A31001"/>
    <w:rsid w:val="00A31D1F"/>
    <w:rsid w:val="00A35BD7"/>
    <w:rsid w:val="00A4560B"/>
    <w:rsid w:val="00A51803"/>
    <w:rsid w:val="00A51EE2"/>
    <w:rsid w:val="00A62046"/>
    <w:rsid w:val="00A702EE"/>
    <w:rsid w:val="00A733ED"/>
    <w:rsid w:val="00A843CC"/>
    <w:rsid w:val="00A849C8"/>
    <w:rsid w:val="00A90E67"/>
    <w:rsid w:val="00A972B0"/>
    <w:rsid w:val="00AA040C"/>
    <w:rsid w:val="00AA2A34"/>
    <w:rsid w:val="00AA2FBE"/>
    <w:rsid w:val="00AB03E2"/>
    <w:rsid w:val="00AB1B23"/>
    <w:rsid w:val="00AB301E"/>
    <w:rsid w:val="00AB3DC8"/>
    <w:rsid w:val="00AB6939"/>
    <w:rsid w:val="00AC5655"/>
    <w:rsid w:val="00AD04D0"/>
    <w:rsid w:val="00AD21EC"/>
    <w:rsid w:val="00AD4725"/>
    <w:rsid w:val="00AD4A05"/>
    <w:rsid w:val="00AD622B"/>
    <w:rsid w:val="00AE3B95"/>
    <w:rsid w:val="00AE7FF1"/>
    <w:rsid w:val="00AF0A6E"/>
    <w:rsid w:val="00AF53F1"/>
    <w:rsid w:val="00AF5A8F"/>
    <w:rsid w:val="00AF6B59"/>
    <w:rsid w:val="00B0354C"/>
    <w:rsid w:val="00B07267"/>
    <w:rsid w:val="00B07788"/>
    <w:rsid w:val="00B11C9C"/>
    <w:rsid w:val="00B122BF"/>
    <w:rsid w:val="00B25F78"/>
    <w:rsid w:val="00B33767"/>
    <w:rsid w:val="00B40FA4"/>
    <w:rsid w:val="00B47EDF"/>
    <w:rsid w:val="00B521EE"/>
    <w:rsid w:val="00B558F4"/>
    <w:rsid w:val="00B63401"/>
    <w:rsid w:val="00B71F4A"/>
    <w:rsid w:val="00B74442"/>
    <w:rsid w:val="00B81514"/>
    <w:rsid w:val="00B81E55"/>
    <w:rsid w:val="00B86AA6"/>
    <w:rsid w:val="00B94A57"/>
    <w:rsid w:val="00B97884"/>
    <w:rsid w:val="00BA0D8C"/>
    <w:rsid w:val="00BA37C6"/>
    <w:rsid w:val="00BB075E"/>
    <w:rsid w:val="00BB173D"/>
    <w:rsid w:val="00BB2BAF"/>
    <w:rsid w:val="00BB4670"/>
    <w:rsid w:val="00BB4719"/>
    <w:rsid w:val="00BC09E6"/>
    <w:rsid w:val="00BC6E83"/>
    <w:rsid w:val="00BD119F"/>
    <w:rsid w:val="00BD4261"/>
    <w:rsid w:val="00BE1E48"/>
    <w:rsid w:val="00BE4981"/>
    <w:rsid w:val="00BF6E76"/>
    <w:rsid w:val="00BF7583"/>
    <w:rsid w:val="00C10FBA"/>
    <w:rsid w:val="00C12BE1"/>
    <w:rsid w:val="00C13EF8"/>
    <w:rsid w:val="00C2294B"/>
    <w:rsid w:val="00C3485D"/>
    <w:rsid w:val="00C473AA"/>
    <w:rsid w:val="00C50C3B"/>
    <w:rsid w:val="00C5666D"/>
    <w:rsid w:val="00C718A3"/>
    <w:rsid w:val="00C73D38"/>
    <w:rsid w:val="00C75771"/>
    <w:rsid w:val="00C812A6"/>
    <w:rsid w:val="00C853A8"/>
    <w:rsid w:val="00C90161"/>
    <w:rsid w:val="00C923EB"/>
    <w:rsid w:val="00C9632A"/>
    <w:rsid w:val="00C96E18"/>
    <w:rsid w:val="00C97223"/>
    <w:rsid w:val="00CA0618"/>
    <w:rsid w:val="00CA3D3A"/>
    <w:rsid w:val="00CB5A40"/>
    <w:rsid w:val="00CB777F"/>
    <w:rsid w:val="00CC0F88"/>
    <w:rsid w:val="00CC3357"/>
    <w:rsid w:val="00CC4668"/>
    <w:rsid w:val="00CC48BD"/>
    <w:rsid w:val="00CC55D1"/>
    <w:rsid w:val="00CC74E2"/>
    <w:rsid w:val="00CD1F3F"/>
    <w:rsid w:val="00CD3FE3"/>
    <w:rsid w:val="00CD724D"/>
    <w:rsid w:val="00CF2C47"/>
    <w:rsid w:val="00CF5085"/>
    <w:rsid w:val="00D001E8"/>
    <w:rsid w:val="00D025E8"/>
    <w:rsid w:val="00D02C9D"/>
    <w:rsid w:val="00D0321F"/>
    <w:rsid w:val="00D04BDD"/>
    <w:rsid w:val="00D05FF3"/>
    <w:rsid w:val="00D1305F"/>
    <w:rsid w:val="00D16CB6"/>
    <w:rsid w:val="00D2040E"/>
    <w:rsid w:val="00D31485"/>
    <w:rsid w:val="00D31518"/>
    <w:rsid w:val="00D33B3C"/>
    <w:rsid w:val="00D429FC"/>
    <w:rsid w:val="00D42AB2"/>
    <w:rsid w:val="00D4536F"/>
    <w:rsid w:val="00D52BCC"/>
    <w:rsid w:val="00D646E8"/>
    <w:rsid w:val="00D65B0F"/>
    <w:rsid w:val="00D71707"/>
    <w:rsid w:val="00D71C0B"/>
    <w:rsid w:val="00D779FA"/>
    <w:rsid w:val="00D824F9"/>
    <w:rsid w:val="00D835C6"/>
    <w:rsid w:val="00D87FEA"/>
    <w:rsid w:val="00D9165F"/>
    <w:rsid w:val="00D93813"/>
    <w:rsid w:val="00D95E9F"/>
    <w:rsid w:val="00DA14E6"/>
    <w:rsid w:val="00DA22EA"/>
    <w:rsid w:val="00DA4EED"/>
    <w:rsid w:val="00DC4DC7"/>
    <w:rsid w:val="00DD5DE6"/>
    <w:rsid w:val="00DE29CA"/>
    <w:rsid w:val="00DF37D6"/>
    <w:rsid w:val="00DF4F59"/>
    <w:rsid w:val="00E0462F"/>
    <w:rsid w:val="00E160DD"/>
    <w:rsid w:val="00E3193D"/>
    <w:rsid w:val="00E4272D"/>
    <w:rsid w:val="00E43382"/>
    <w:rsid w:val="00E436C5"/>
    <w:rsid w:val="00E45A39"/>
    <w:rsid w:val="00E462B8"/>
    <w:rsid w:val="00E60EEB"/>
    <w:rsid w:val="00E614CF"/>
    <w:rsid w:val="00E6654F"/>
    <w:rsid w:val="00E84A3E"/>
    <w:rsid w:val="00E85BB5"/>
    <w:rsid w:val="00E86CB2"/>
    <w:rsid w:val="00E90C40"/>
    <w:rsid w:val="00E958F6"/>
    <w:rsid w:val="00E97B73"/>
    <w:rsid w:val="00EB0EF9"/>
    <w:rsid w:val="00EB4393"/>
    <w:rsid w:val="00EC08A3"/>
    <w:rsid w:val="00EC1F8C"/>
    <w:rsid w:val="00EC5C03"/>
    <w:rsid w:val="00EC6AD4"/>
    <w:rsid w:val="00ED4692"/>
    <w:rsid w:val="00EE35FA"/>
    <w:rsid w:val="00EE41E8"/>
    <w:rsid w:val="00EE4205"/>
    <w:rsid w:val="00EF12C5"/>
    <w:rsid w:val="00F006A5"/>
    <w:rsid w:val="00F05014"/>
    <w:rsid w:val="00F1100C"/>
    <w:rsid w:val="00F128A3"/>
    <w:rsid w:val="00F13599"/>
    <w:rsid w:val="00F17328"/>
    <w:rsid w:val="00F2194F"/>
    <w:rsid w:val="00F26D46"/>
    <w:rsid w:val="00F44B90"/>
    <w:rsid w:val="00F45FE7"/>
    <w:rsid w:val="00F53474"/>
    <w:rsid w:val="00F55F9A"/>
    <w:rsid w:val="00F630E0"/>
    <w:rsid w:val="00F71BAC"/>
    <w:rsid w:val="00F74AB3"/>
    <w:rsid w:val="00F75A43"/>
    <w:rsid w:val="00F80B8C"/>
    <w:rsid w:val="00F875FA"/>
    <w:rsid w:val="00F9058B"/>
    <w:rsid w:val="00F91742"/>
    <w:rsid w:val="00F97B5E"/>
    <w:rsid w:val="00FA3C2C"/>
    <w:rsid w:val="00FA510C"/>
    <w:rsid w:val="00FB20CC"/>
    <w:rsid w:val="00FB21E4"/>
    <w:rsid w:val="00FB6FFC"/>
    <w:rsid w:val="00FD05F7"/>
    <w:rsid w:val="00FD15AF"/>
    <w:rsid w:val="00FD3FEB"/>
    <w:rsid w:val="00FE3A68"/>
    <w:rsid w:val="00FE7E9F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DBE3"/>
  <w15:docId w15:val="{5C388470-9864-4281-8156-7A1C1C31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qFormat/>
    <w:pPr>
      <w:ind w:left="92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link w:val="Ttulo2Char"/>
    <w:unhideWhenUsed/>
    <w:qFormat/>
    <w:pPr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F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874410"/>
    <w:pPr>
      <w:keepNext/>
      <w:widowControl/>
      <w:numPr>
        <w:ilvl w:val="3"/>
        <w:numId w:val="1"/>
      </w:numPr>
      <w:suppressAutoHyphens/>
      <w:autoSpaceDE/>
      <w:autoSpaceDN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line="2414" w:lineRule="exact"/>
    </w:pPr>
    <w:rPr>
      <w:rFonts w:ascii="Arial MT" w:eastAsia="Arial MT" w:hAnsi="Arial MT" w:cs="Arial MT"/>
      <w:sz w:val="216"/>
      <w:szCs w:val="2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9"/>
      <w:ind w:left="100"/>
    </w:pPr>
  </w:style>
  <w:style w:type="paragraph" w:styleId="Cabealho">
    <w:name w:val="header"/>
    <w:basedOn w:val="Normal"/>
    <w:link w:val="CabealhoChar"/>
    <w:unhideWhenUsed/>
    <w:rsid w:val="00AC5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565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AC5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565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F758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758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nhideWhenUsed/>
    <w:rsid w:val="00E60EEB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F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rsid w:val="0087441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table" w:styleId="Tabelacomgrade">
    <w:name w:val="Table Grid"/>
    <w:basedOn w:val="Tabelanormal"/>
    <w:uiPriority w:val="39"/>
    <w:rsid w:val="008744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874410"/>
    <w:rPr>
      <w:rFonts w:ascii="Calibri" w:eastAsia="Calibri" w:hAnsi="Calibri" w:cs="Calibri"/>
      <w:b/>
      <w:bCs/>
      <w:sz w:val="21"/>
      <w:szCs w:val="21"/>
      <w:lang w:val="pt-PT"/>
    </w:rPr>
  </w:style>
  <w:style w:type="character" w:customStyle="1" w:styleId="CorpodetextoChar">
    <w:name w:val="Corpo de texto Char"/>
    <w:link w:val="Corpodetexto"/>
    <w:rsid w:val="00874410"/>
    <w:rPr>
      <w:rFonts w:ascii="Calibri" w:eastAsia="Calibri" w:hAnsi="Calibri" w:cs="Calibri"/>
      <w:sz w:val="21"/>
      <w:szCs w:val="21"/>
      <w:lang w:val="pt-PT"/>
    </w:rPr>
  </w:style>
  <w:style w:type="paragraph" w:styleId="Textodebalo">
    <w:name w:val="Balloon Text"/>
    <w:basedOn w:val="Normal"/>
    <w:link w:val="TextodebaloChar"/>
    <w:rsid w:val="00874410"/>
    <w:pPr>
      <w:widowControl/>
      <w:autoSpaceDE/>
      <w:autoSpaceDN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87441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Forte">
    <w:name w:val="Strong"/>
    <w:qFormat/>
    <w:rsid w:val="00874410"/>
    <w:rPr>
      <w:b/>
      <w:bCs/>
    </w:rPr>
  </w:style>
  <w:style w:type="paragraph" w:styleId="Textodenotadefim">
    <w:name w:val="endnote text"/>
    <w:basedOn w:val="Normal"/>
    <w:link w:val="TextodenotadefimChar"/>
    <w:uiPriority w:val="99"/>
    <w:rsid w:val="008744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7441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fim">
    <w:name w:val="endnote reference"/>
    <w:uiPriority w:val="99"/>
    <w:rsid w:val="00874410"/>
    <w:rPr>
      <w:vertAlign w:val="superscript"/>
    </w:rPr>
  </w:style>
  <w:style w:type="paragraph" w:styleId="Textodenotaderodap">
    <w:name w:val="footnote text"/>
    <w:basedOn w:val="Normal"/>
    <w:link w:val="TextodenotaderodapChar"/>
    <w:rsid w:val="008744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7441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rsid w:val="0087441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744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74410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Nivel01TituloChar">
    <w:name w:val="Nivel_01_Titulo Char"/>
    <w:link w:val="Nivel01Titulo"/>
    <w:locked/>
    <w:rsid w:val="00874410"/>
    <w:rPr>
      <w:rFonts w:ascii="Arial" w:eastAsia="Times New Roman" w:hAnsi="Arial" w:cs="Times New Roman"/>
      <w:b/>
      <w:bCs/>
      <w:sz w:val="20"/>
      <w:szCs w:val="20"/>
      <w:lang w:val="pt-BR" w:eastAsia="pt-BR"/>
    </w:rPr>
  </w:style>
  <w:style w:type="character" w:customStyle="1" w:styleId="Ttulo1Char">
    <w:name w:val="Título 1 Char"/>
    <w:link w:val="Ttulo1"/>
    <w:rsid w:val="0087441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Refdecomentrio">
    <w:name w:val="annotation reference"/>
    <w:rsid w:val="0087441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744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87441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744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74410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customStyle="1" w:styleId="Default">
    <w:name w:val="Default"/>
    <w:rsid w:val="00AF0A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hyperlink" Target="https://www.goiania.go.gov.br/html/gabinete_civil/sileg/dados/legis/2022/dc_20220314_000000967.html" TargetMode="External"/><Relationship Id="rId26" Type="http://schemas.openxmlformats.org/officeDocument/2006/relationships/hyperlink" Target="https://www.planalto.gov.br/ccivil_03/_ato2019-2022/2021/lei/L14133.htm" TargetMode="External"/><Relationship Id="rId39" Type="http://schemas.openxmlformats.org/officeDocument/2006/relationships/hyperlink" Target="https://certidoes-apf.apps.tcu.gov.b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lanalto.gov.br/ccivil_03/_ato2019-2022/2021/lei/L14133.htm" TargetMode="External"/><Relationship Id="rId34" Type="http://schemas.openxmlformats.org/officeDocument/2006/relationships/hyperlink" Target="https://www.planalto.gov.br/ccivil_03/_ato2019-2022/2021/lei/L14133.htm" TargetMode="External"/><Relationship Id="rId42" Type="http://schemas.openxmlformats.org/officeDocument/2006/relationships/hyperlink" Target="https://www.planalto.gov.br/ccivil_03/leis/lcp/lcp101.htm" TargetMode="External"/><Relationship Id="rId47" Type="http://schemas.openxmlformats.org/officeDocument/2006/relationships/hyperlink" Target="https://www.planalto.gov.br/ccivil_03/_ato2019-2022/2021/lei/L14133.htm" TargetMode="External"/><Relationship Id="rId50" Type="http://schemas.openxmlformats.org/officeDocument/2006/relationships/hyperlink" Target="https://www.goiania.go.gov.br/html/gabinete_civil/sileg/dados/legis/2013/lo_20130312_00000924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7" Type="http://schemas.openxmlformats.org/officeDocument/2006/relationships/hyperlink" Target="https://www.planalto.gov.br/ccivil_03/_ato2019-2022/2021/lei/L14133.htm" TargetMode="External"/><Relationship Id="rId25" Type="http://schemas.openxmlformats.org/officeDocument/2006/relationships/hyperlink" Target="https://www.goiania.go.gov.br/html/gabinete_civil/sileg/dados/legis/2022/dc_20220314_000000967.html" TargetMode="External"/><Relationship Id="rId33" Type="http://schemas.openxmlformats.org/officeDocument/2006/relationships/hyperlink" Target="https://www.goiania.go.gov.br/html/gabinete_civil/sileg/dados/legis/2022/dc_20220314_000000967.html" TargetMode="External"/><Relationship Id="rId38" Type="http://schemas.openxmlformats.org/officeDocument/2006/relationships/hyperlink" Target="https://contas.tcu.gov.br/ords/f?p=INABILITADO:INIDONEOS" TargetMode="External"/><Relationship Id="rId46" Type="http://schemas.openxmlformats.org/officeDocument/2006/relationships/hyperlink" Target="https://www.goiania.go.gov.br/html/gabinete_civil/sileg/dados/legis/2022/dc_20220314_00000096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iania.go.gov.br/html/gabinete_civil/sileg/dados/legis/2022/dc_20220314_000000967.html" TargetMode="External"/><Relationship Id="rId20" Type="http://schemas.openxmlformats.org/officeDocument/2006/relationships/hyperlink" Target="https://www.goiania.go.gov.br/html/gabinete_civil/sileg/dados/legis/2022/dc_20220314_000000967.html" TargetMode="External"/><Relationship Id="rId29" Type="http://schemas.openxmlformats.org/officeDocument/2006/relationships/hyperlink" Target="https://www.goiania.go.gov.br/html/gabinete_civil/sileg/dados/legis/2022/dc_20220314_000000967.html" TargetMode="External"/><Relationship Id="rId41" Type="http://schemas.openxmlformats.org/officeDocument/2006/relationships/hyperlink" Target="https://www.goiania.go.gov.br/html/gabinete_civil/sileg/dados/legis/2022/dc_20220314_00000096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_ato2019-2022/2021/lei/l14133.htm" TargetMode="External"/><Relationship Id="rId24" Type="http://schemas.openxmlformats.org/officeDocument/2006/relationships/hyperlink" Target="https://www.goiania.go.gov.br/semad/wp-content/uploads/sites/27/2022/02/INSTRUCAO-NORMATIVA-No-001-DE-29-DE-JANEIRO-DE-2022.pdf" TargetMode="External"/><Relationship Id="rId32" Type="http://schemas.openxmlformats.org/officeDocument/2006/relationships/hyperlink" Target="https://www.planalto.gov.br/ccivil_03/_ato2019-2022/2021/lei/L14133.htm" TargetMode="External"/><Relationship Id="rId37" Type="http://schemas.openxmlformats.org/officeDocument/2006/relationships/hyperlink" Target="https://www.portaltransparencia.gov.br/sancoes/cnep" TargetMode="External"/><Relationship Id="rId40" Type="http://schemas.openxmlformats.org/officeDocument/2006/relationships/hyperlink" Target="https://www.goiania.go.gov.br/html/gabinete_civil/sileg/dados/legis/2022/dc_20220314_000000967.html" TargetMode="External"/><Relationship Id="rId45" Type="http://schemas.openxmlformats.org/officeDocument/2006/relationships/hyperlink" Target="https://www.planalto.gov.br/ccivil_03/_ato2019-2022/2021/lei/L14133.htm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lanalto.gov.br/ccivil_03/_ato2019-2022/2021/lei/L14133.htm" TargetMode="External"/><Relationship Id="rId23" Type="http://schemas.openxmlformats.org/officeDocument/2006/relationships/hyperlink" Target="https://www.goiania.go.gov.br/html/gabinete_civil/sileg/dados/legis/2022/dc_20220314_000000967.html" TargetMode="External"/><Relationship Id="rId28" Type="http://schemas.openxmlformats.org/officeDocument/2006/relationships/hyperlink" Target="https://www.planalto.gov.br/ccivil_03/_ato2019-2022/2021/lei/L14133.htm" TargetMode="External"/><Relationship Id="rId36" Type="http://schemas.openxmlformats.org/officeDocument/2006/relationships/hyperlink" Target="http://www.cnj.jus.br/improbidade_adm/consultar_requerido.php" TargetMode="External"/><Relationship Id="rId49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hyperlink" Target="https://www.planalto.gov.br/ccivil_03/_ato2019-2022/2021/lei/l14133.htm" TargetMode="External"/><Relationship Id="rId19" Type="http://schemas.openxmlformats.org/officeDocument/2006/relationships/hyperlink" Target="https://www.planalto.gov.br/ccivil_03/_ato2019-2022/2021/lei/L14133.htm" TargetMode="External"/><Relationship Id="rId31" Type="http://schemas.openxmlformats.org/officeDocument/2006/relationships/hyperlink" Target="https://www.goiania.go.gov.br/html/gabinete_civil/sileg/dados/legis/2022/dc_20220314_000000967.html" TargetMode="External"/><Relationship Id="rId44" Type="http://schemas.openxmlformats.org/officeDocument/2006/relationships/hyperlink" Target="https://www.planalto.gov.br/ccivil_03/_ato2019-2022/2021/lei/L14133.htm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planalto.gov.br/ccivil_03/_ato2019-2022/2021/lei/L14133.htm" TargetMode="External"/><Relationship Id="rId22" Type="http://schemas.openxmlformats.org/officeDocument/2006/relationships/hyperlink" Target="https://www.goiania.go.gov.br/semad/wp-content/uploads/sites/27/2022/02/INSTRUCAO-NORMATIVA-No-001-DE-29-DE-JANEIRO-DE-2022.pdf" TargetMode="External"/><Relationship Id="rId27" Type="http://schemas.openxmlformats.org/officeDocument/2006/relationships/hyperlink" Target="https://www.goiania.go.gov.br/html/gabinete_civil/sileg/dados/legis/2022/dc_20220314_000000967.html" TargetMode="External"/><Relationship Id="rId30" Type="http://schemas.openxmlformats.org/officeDocument/2006/relationships/hyperlink" Target="https://www.planalto.gov.br/ccivil_03/_ato2019-2022/2021/lei/L14133.htm" TargetMode="External"/><Relationship Id="rId35" Type="http://schemas.openxmlformats.org/officeDocument/2006/relationships/hyperlink" Target="http://www.portaldatransparencia.gov.br/ceis" TargetMode="External"/><Relationship Id="rId43" Type="http://schemas.openxmlformats.org/officeDocument/2006/relationships/hyperlink" Target="https://www.planalto.gov.br/ccivil_03/_ato2019-2022/2021/lei/L14133.htm" TargetMode="External"/><Relationship Id="rId48" Type="http://schemas.openxmlformats.org/officeDocument/2006/relationships/hyperlink" Target="https://www.planalto.gov.br/ccivil_03/_ato2019-2022/2021/lei/L14133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goiania.go.gov.br/html/gabinete_civil/sileg/dados/legis/2021/dc_20210129_0000008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0FEA-CF61-4CE5-9A71-25D04A22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5</Pages>
  <Words>2308</Words>
  <Characters>12468</Characters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24.5.000012947-2</vt:lpstr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2024-06-24T19:49:00Z</dcterms:created>
  <dcterms:modified xsi:type="dcterms:W3CDTF">2024-09-13T18:52:00Z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2024-06-24T00:00:00Z</vt:filetime>
  </property>
</Properties>
</file>