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A5F9" w14:textId="77777777" w:rsidR="0006598E" w:rsidRPr="0076394E" w:rsidRDefault="00000000">
      <w:pPr>
        <w:spacing w:before="120" w:after="120"/>
        <w:jc w:val="center"/>
        <w:rPr>
          <w:rFonts w:ascii="Calibri" w:eastAsia="Calibri" w:hAnsi="Calibri" w:cs="Calibri"/>
          <w:color w:val="000000"/>
          <w:sz w:val="24"/>
          <w:szCs w:val="24"/>
        </w:rPr>
      </w:pPr>
      <w:r w:rsidRPr="0076394E">
        <w:rPr>
          <w:rFonts w:ascii="Calibri" w:eastAsia="Calibri" w:hAnsi="Calibri" w:cs="Calibri"/>
          <w:color w:val="000000" w:themeColor="text1"/>
          <w:sz w:val="24"/>
          <w:szCs w:val="24"/>
        </w:rPr>
        <w:t xml:space="preserve">EDITAL DE CHAMAMENTO PÚBLICO Nº 09/2026 - </w:t>
      </w:r>
      <w:r w:rsidRPr="0076394E">
        <w:rPr>
          <w:rFonts w:ascii="Century Gothic" w:hAnsi="Century Gothic" w:cstheme="minorHAnsi"/>
        </w:rPr>
        <w:t>Referente ao 2º ciclo PNAB 2025</w:t>
      </w:r>
    </w:p>
    <w:p w14:paraId="6A8A0065" w14:textId="77777777" w:rsidR="0006598E" w:rsidRPr="0076394E" w:rsidRDefault="00000000">
      <w:pPr>
        <w:spacing w:before="120" w:after="120" w:line="240" w:lineRule="auto"/>
        <w:jc w:val="center"/>
      </w:pPr>
      <w:r w:rsidRPr="0076394E">
        <w:rPr>
          <w:rFonts w:ascii="Calibri" w:eastAsia="Calibri" w:hAnsi="Calibri" w:cs="Calibri"/>
          <w:color w:val="000000" w:themeColor="text1"/>
          <w:sz w:val="24"/>
          <w:szCs w:val="24"/>
        </w:rPr>
        <w:t>EDITAL DE CONCESSÃO DE BOLSAS CULTURA VIVA PARA MESTRAS E MESTRES,</w:t>
      </w:r>
      <w:r w:rsidRPr="0076394E">
        <w:rPr>
          <w:rFonts w:ascii="Calibri" w:eastAsia="Calibri" w:hAnsi="Calibri" w:cs="Calibri"/>
          <w:color w:val="000000"/>
          <w:sz w:val="24"/>
          <w:szCs w:val="24"/>
        </w:rPr>
        <w:t xml:space="preserve"> Com Recursos Da Política Nacional Aldir Blanc de Fomento À Cultura – </w:t>
      </w:r>
      <w:proofErr w:type="spellStart"/>
      <w:r w:rsidRPr="0076394E">
        <w:rPr>
          <w:rFonts w:ascii="Calibri" w:eastAsia="Calibri" w:hAnsi="Calibri" w:cs="Calibri"/>
          <w:color w:val="000000"/>
          <w:sz w:val="24"/>
          <w:szCs w:val="24"/>
        </w:rPr>
        <w:t>Pnab</w:t>
      </w:r>
      <w:proofErr w:type="spellEnd"/>
      <w:r w:rsidRPr="0076394E">
        <w:rPr>
          <w:rFonts w:ascii="Calibri" w:eastAsia="Calibri" w:hAnsi="Calibri" w:cs="Calibri"/>
          <w:color w:val="000000"/>
          <w:sz w:val="24"/>
          <w:szCs w:val="24"/>
        </w:rPr>
        <w:t xml:space="preserve"> (Lei Nº 14.399/2022</w:t>
      </w:r>
    </w:p>
    <w:p w14:paraId="4B3E12B5" w14:textId="77777777" w:rsidR="0006598E" w:rsidRPr="0076394E" w:rsidRDefault="0006598E">
      <w:pPr>
        <w:spacing w:before="120" w:after="120" w:line="240" w:lineRule="auto"/>
        <w:jc w:val="center"/>
      </w:pPr>
    </w:p>
    <w:p w14:paraId="276098CD" w14:textId="77777777" w:rsidR="0006598E" w:rsidRPr="0076394E" w:rsidRDefault="00000000">
      <w:pPr>
        <w:spacing w:before="120" w:after="120" w:line="240" w:lineRule="auto"/>
        <w:jc w:val="center"/>
      </w:pPr>
      <w:r w:rsidRPr="0076394E">
        <w:t xml:space="preserve">ANEXO 12 - MINUTA DO TERMO DE CONCESSÃO DE BOLSA CULTURA VIVA PARA MESTRAS E MESTRES </w:t>
      </w:r>
    </w:p>
    <w:p w14:paraId="3FD2AB4B" w14:textId="0D8FEED2" w:rsidR="0006598E" w:rsidRDefault="0006598E">
      <w:pPr>
        <w:spacing w:after="120"/>
        <w:jc w:val="both"/>
      </w:pPr>
    </w:p>
    <w:p w14:paraId="10022647" w14:textId="77777777" w:rsidR="0006598E" w:rsidRDefault="00000000">
      <w:pPr>
        <w:spacing w:after="160"/>
        <w:jc w:val="both"/>
        <w:rPr>
          <w:rFonts w:ascii="Calibri" w:hAnsi="Calibri" w:cs="Calibri"/>
          <w:sz w:val="24"/>
          <w:szCs w:val="24"/>
        </w:rPr>
      </w:pPr>
      <w:r>
        <w:rPr>
          <w:rFonts w:ascii="Calibri" w:hAnsi="Calibri" w:cs="Calibri"/>
          <w:sz w:val="24"/>
          <w:szCs w:val="24"/>
        </w:rPr>
        <w:t>TERMO DE CONCESSÃO DE BOLSA CULTURA VIVA Nº XX/2025</w:t>
      </w:r>
    </w:p>
    <w:tbl>
      <w:tblPr>
        <w:tblStyle w:val="Tabelacomgrade"/>
        <w:tblW w:w="9019" w:type="dxa"/>
        <w:tblLayout w:type="fixed"/>
        <w:tblLook w:val="04A0" w:firstRow="1" w:lastRow="0" w:firstColumn="1" w:lastColumn="0" w:noHBand="0" w:noVBand="1"/>
      </w:tblPr>
      <w:tblGrid>
        <w:gridCol w:w="9019"/>
      </w:tblGrid>
      <w:tr w:rsidR="0006598E" w14:paraId="6DDFFB37" w14:textId="77777777">
        <w:tc>
          <w:tcPr>
            <w:tcW w:w="9019" w:type="dxa"/>
            <w:shd w:val="clear" w:color="auto" w:fill="D9D9D9" w:themeFill="background1" w:themeFillShade="D9"/>
          </w:tcPr>
          <w:p w14:paraId="3D8336F4" w14:textId="77777777" w:rsidR="0006598E" w:rsidRDefault="00000000">
            <w:pPr>
              <w:spacing w:after="160" w:line="240" w:lineRule="auto"/>
              <w:jc w:val="both"/>
              <w:rPr>
                <w:rFonts w:ascii="Calibri" w:hAnsi="Calibri" w:cs="Calibri"/>
                <w:b/>
                <w:bCs/>
                <w:sz w:val="24"/>
                <w:szCs w:val="24"/>
              </w:rPr>
            </w:pPr>
            <w:r>
              <w:rPr>
                <w:rFonts w:ascii="Calibri" w:hAnsi="Calibri" w:cs="Calibri"/>
                <w:b/>
                <w:bCs/>
                <w:sz w:val="24"/>
                <w:szCs w:val="24"/>
              </w:rPr>
              <w:t xml:space="preserve">1.          FINALIDADE </w:t>
            </w:r>
          </w:p>
        </w:tc>
      </w:tr>
      <w:tr w:rsidR="0006598E" w14:paraId="7D13CDDF" w14:textId="77777777">
        <w:tc>
          <w:tcPr>
            <w:tcW w:w="9019" w:type="dxa"/>
          </w:tcPr>
          <w:p w14:paraId="44B55F3F" w14:textId="77777777" w:rsidR="0006598E" w:rsidRDefault="00000000">
            <w:pPr>
              <w:spacing w:after="160" w:line="240" w:lineRule="auto"/>
              <w:jc w:val="both"/>
              <w:rPr>
                <w:rFonts w:ascii="Calibri" w:hAnsi="Calibri" w:cs="Calibri"/>
                <w:sz w:val="24"/>
                <w:szCs w:val="24"/>
              </w:rPr>
            </w:pPr>
            <w:r>
              <w:rPr>
                <w:rFonts w:asciiTheme="majorHAnsi" w:hAnsiTheme="majorHAnsi" w:cstheme="majorBidi"/>
                <w:sz w:val="24"/>
                <w:szCs w:val="24"/>
              </w:rPr>
              <w:t xml:space="preserve">A Secretaria Municipal de Cultura, denominado CONCEDENTE, e o(a) </w:t>
            </w:r>
            <w:r>
              <w:rPr>
                <w:rFonts w:asciiTheme="majorHAnsi" w:hAnsiTheme="majorHAnsi" w:cstheme="majorBidi"/>
                <w:sz w:val="24"/>
                <w:szCs w:val="24"/>
                <w:highlight w:val="yellow"/>
              </w:rPr>
              <w:t>XXXX</w:t>
            </w:r>
            <w:r>
              <w:rPr>
                <w:rFonts w:asciiTheme="majorHAnsi" w:hAnsiTheme="majorHAnsi" w:cstheme="majorBidi"/>
                <w:sz w:val="24"/>
                <w:szCs w:val="24"/>
              </w:rPr>
              <w:t xml:space="preserve">, denominado(a) MESTRA OU MESTRE, celebram o presente TERMO DE CONCESSÃO DE BOLSA CULTURA VIVA, com a finalidade de executar o Plano de Atividades </w:t>
            </w:r>
            <w:r>
              <w:rPr>
                <w:rFonts w:asciiTheme="majorHAnsi" w:hAnsiTheme="majorHAnsi" w:cstheme="majorBidi"/>
                <w:sz w:val="24"/>
                <w:szCs w:val="24"/>
                <w:highlight w:val="yellow"/>
              </w:rPr>
              <w:t>XXXX</w:t>
            </w:r>
            <w:r>
              <w:rPr>
                <w:rFonts w:asciiTheme="majorHAnsi" w:hAnsiTheme="majorHAnsi" w:cstheme="majorBidi"/>
                <w:sz w:val="24"/>
                <w:szCs w:val="24"/>
              </w:rPr>
              <w:t>, para ampliação e fortalecimento da Política Nacional de</w:t>
            </w:r>
            <w:r>
              <w:rPr>
                <w:rFonts w:asciiTheme="majorHAnsi" w:hAnsiTheme="majorHAnsi" w:cstheme="majorBidi"/>
                <w:color w:val="000000" w:themeColor="text1"/>
              </w:rPr>
              <w:t xml:space="preserve"> Cultura Viva - PNCV</w:t>
            </w:r>
            <w:r>
              <w:rPr>
                <w:rFonts w:asciiTheme="majorHAnsi" w:hAnsiTheme="majorHAnsi" w:cstheme="majorBidi"/>
              </w:rPr>
              <w:t xml:space="preserve">, </w:t>
            </w:r>
            <w:r>
              <w:rPr>
                <w:rFonts w:asciiTheme="majorHAnsi" w:hAnsiTheme="majorHAnsi" w:cstheme="majorBidi"/>
                <w:sz w:val="24"/>
                <w:szCs w:val="24"/>
              </w:rPr>
              <w:t>nos termos da Lei nº 13.018, de 22 de julho de 2014, da Instrução Normativa MinC nº 08, de 11 de maio de 2016, da Instrução Normativa MinC nº 12, de 28 de maio de 2024, da Lei nº 14.399, de 8 de julho de 2022, do Decreto nº 11.740, de 18 de outubro de 2023, da Lei nº 14.903, de 27 de junho de 2024, do Decreto nº 11.453, de 23 de março de 2023, e dos regramentos do referido Edital de Seleção.</w:t>
            </w:r>
          </w:p>
        </w:tc>
      </w:tr>
    </w:tbl>
    <w:p w14:paraId="7BCDE9FB"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3255"/>
        <w:gridCol w:w="5764"/>
      </w:tblGrid>
      <w:tr w:rsidR="0006598E" w14:paraId="0F3030B7" w14:textId="77777777">
        <w:tc>
          <w:tcPr>
            <w:tcW w:w="9018" w:type="dxa"/>
            <w:gridSpan w:val="2"/>
            <w:shd w:val="clear" w:color="auto" w:fill="D9D9D9" w:themeFill="background1" w:themeFillShade="D9"/>
          </w:tcPr>
          <w:p w14:paraId="259639B2"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b/>
                <w:bCs/>
                <w:sz w:val="24"/>
                <w:szCs w:val="24"/>
              </w:rPr>
              <w:t>2.          IDENTIFICAÇÃO DAS PARTES</w:t>
            </w:r>
          </w:p>
        </w:tc>
      </w:tr>
      <w:tr w:rsidR="0006598E" w14:paraId="4144F1E7" w14:textId="77777777">
        <w:tc>
          <w:tcPr>
            <w:tcW w:w="9018" w:type="dxa"/>
            <w:gridSpan w:val="2"/>
            <w:shd w:val="clear" w:color="auto" w:fill="D9D9D9" w:themeFill="background1" w:themeFillShade="D9"/>
          </w:tcPr>
          <w:p w14:paraId="46C9A828" w14:textId="77777777" w:rsidR="0006598E" w:rsidRDefault="00000000">
            <w:pPr>
              <w:spacing w:before="120" w:after="120" w:line="240" w:lineRule="auto"/>
              <w:jc w:val="both"/>
              <w:rPr>
                <w:rFonts w:ascii="Calibri" w:hAnsi="Calibri"/>
                <w:b/>
                <w:bCs/>
                <w:sz w:val="24"/>
                <w:szCs w:val="24"/>
              </w:rPr>
            </w:pPr>
            <w:r>
              <w:rPr>
                <w:rFonts w:asciiTheme="majorHAnsi" w:hAnsiTheme="majorHAnsi" w:cstheme="majorBidi"/>
                <w:b/>
                <w:bCs/>
                <w:sz w:val="24"/>
                <w:szCs w:val="24"/>
              </w:rPr>
              <w:t>2.1. Secretaria Municipal de Cultura- CONCEDENTE</w:t>
            </w:r>
          </w:p>
        </w:tc>
      </w:tr>
      <w:tr w:rsidR="0006598E" w14:paraId="51DE24E7" w14:textId="77777777">
        <w:tc>
          <w:tcPr>
            <w:tcW w:w="3255" w:type="dxa"/>
            <w:shd w:val="clear" w:color="auto" w:fill="D9D9D9" w:themeFill="background1" w:themeFillShade="D9"/>
          </w:tcPr>
          <w:p w14:paraId="0D010FED" w14:textId="77777777" w:rsidR="0006598E" w:rsidRDefault="00000000">
            <w:pPr>
              <w:spacing w:before="120" w:after="120" w:line="240" w:lineRule="auto"/>
              <w:jc w:val="both"/>
              <w:rPr>
                <w:rFonts w:ascii="Calibri" w:hAnsi="Calibri" w:cs="Calibri"/>
                <w:bCs/>
                <w:sz w:val="24"/>
                <w:szCs w:val="24"/>
              </w:rPr>
            </w:pPr>
            <w:r>
              <w:rPr>
                <w:rFonts w:asciiTheme="majorHAnsi" w:hAnsiTheme="majorHAnsi" w:cstheme="majorHAnsi"/>
                <w:bCs/>
                <w:sz w:val="24"/>
                <w:szCs w:val="24"/>
              </w:rPr>
              <w:t>Razão Social</w:t>
            </w:r>
          </w:p>
        </w:tc>
        <w:tc>
          <w:tcPr>
            <w:tcW w:w="5763" w:type="dxa"/>
          </w:tcPr>
          <w:p w14:paraId="7CCCA4E0" w14:textId="77777777" w:rsidR="0006598E" w:rsidRDefault="0006598E">
            <w:pPr>
              <w:spacing w:before="120" w:after="120" w:line="240" w:lineRule="auto"/>
              <w:jc w:val="both"/>
              <w:rPr>
                <w:rFonts w:ascii="Calibri" w:hAnsi="Calibri" w:cs="Calibri"/>
                <w:bCs/>
                <w:sz w:val="24"/>
                <w:szCs w:val="24"/>
              </w:rPr>
            </w:pPr>
          </w:p>
        </w:tc>
      </w:tr>
      <w:tr w:rsidR="0006598E" w14:paraId="24B99973" w14:textId="77777777">
        <w:tc>
          <w:tcPr>
            <w:tcW w:w="3255" w:type="dxa"/>
            <w:shd w:val="clear" w:color="auto" w:fill="D9D9D9" w:themeFill="background1" w:themeFillShade="D9"/>
          </w:tcPr>
          <w:p w14:paraId="523A91C0" w14:textId="77777777" w:rsidR="0006598E" w:rsidRDefault="00000000">
            <w:pPr>
              <w:spacing w:before="120" w:after="120" w:line="240" w:lineRule="auto"/>
              <w:jc w:val="both"/>
              <w:rPr>
                <w:rFonts w:ascii="Calibri" w:hAnsi="Calibri" w:cs="Calibri"/>
                <w:bCs/>
                <w:sz w:val="24"/>
                <w:szCs w:val="24"/>
              </w:rPr>
            </w:pPr>
            <w:r>
              <w:rPr>
                <w:rFonts w:asciiTheme="majorHAnsi" w:hAnsiTheme="majorHAnsi" w:cstheme="majorHAnsi"/>
                <w:sz w:val="24"/>
                <w:szCs w:val="24"/>
              </w:rPr>
              <w:t>CNPJ</w:t>
            </w:r>
          </w:p>
        </w:tc>
        <w:tc>
          <w:tcPr>
            <w:tcW w:w="5763" w:type="dxa"/>
          </w:tcPr>
          <w:p w14:paraId="2BF658CE" w14:textId="77777777" w:rsidR="0006598E" w:rsidRDefault="0006598E">
            <w:pPr>
              <w:spacing w:before="120" w:after="120" w:line="240" w:lineRule="auto"/>
              <w:jc w:val="both"/>
              <w:rPr>
                <w:rFonts w:ascii="Calibri" w:hAnsi="Calibri" w:cs="Calibri"/>
                <w:bCs/>
                <w:sz w:val="24"/>
                <w:szCs w:val="24"/>
              </w:rPr>
            </w:pPr>
          </w:p>
        </w:tc>
      </w:tr>
      <w:tr w:rsidR="0006598E" w14:paraId="5C02B832" w14:textId="77777777">
        <w:tc>
          <w:tcPr>
            <w:tcW w:w="3255" w:type="dxa"/>
            <w:shd w:val="clear" w:color="auto" w:fill="D9D9D9" w:themeFill="background1" w:themeFillShade="D9"/>
          </w:tcPr>
          <w:p w14:paraId="7F40969B" w14:textId="77777777" w:rsidR="0006598E" w:rsidRDefault="00000000">
            <w:pPr>
              <w:spacing w:before="120" w:after="120" w:line="240" w:lineRule="auto"/>
              <w:jc w:val="both"/>
              <w:rPr>
                <w:rFonts w:ascii="Calibri" w:hAnsi="Calibri" w:cs="Calibri"/>
                <w:bCs/>
                <w:sz w:val="24"/>
                <w:szCs w:val="24"/>
              </w:rPr>
            </w:pPr>
            <w:r>
              <w:rPr>
                <w:rFonts w:asciiTheme="majorHAnsi" w:hAnsiTheme="majorHAnsi" w:cstheme="majorHAnsi"/>
                <w:sz w:val="24"/>
                <w:szCs w:val="24"/>
              </w:rPr>
              <w:t>Endereço completo</w:t>
            </w:r>
          </w:p>
        </w:tc>
        <w:tc>
          <w:tcPr>
            <w:tcW w:w="5763" w:type="dxa"/>
          </w:tcPr>
          <w:p w14:paraId="6BDEC399" w14:textId="77777777" w:rsidR="0006598E" w:rsidRDefault="0006598E">
            <w:pPr>
              <w:spacing w:before="120" w:after="120" w:line="240" w:lineRule="auto"/>
              <w:jc w:val="both"/>
              <w:rPr>
                <w:rFonts w:ascii="Calibri" w:hAnsi="Calibri" w:cs="Calibri"/>
                <w:bCs/>
                <w:sz w:val="24"/>
                <w:szCs w:val="24"/>
              </w:rPr>
            </w:pPr>
          </w:p>
        </w:tc>
      </w:tr>
      <w:tr w:rsidR="0006598E" w14:paraId="2DD4E381" w14:textId="77777777">
        <w:tc>
          <w:tcPr>
            <w:tcW w:w="3255" w:type="dxa"/>
            <w:shd w:val="clear" w:color="auto" w:fill="D9D9D9" w:themeFill="background1" w:themeFillShade="D9"/>
          </w:tcPr>
          <w:p w14:paraId="6F613A7E"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Nome do responsável legal</w:t>
            </w:r>
          </w:p>
        </w:tc>
        <w:tc>
          <w:tcPr>
            <w:tcW w:w="5763" w:type="dxa"/>
          </w:tcPr>
          <w:p w14:paraId="000DD5EF" w14:textId="77777777" w:rsidR="0006598E" w:rsidRDefault="0006598E">
            <w:pPr>
              <w:spacing w:before="120" w:after="120" w:line="240" w:lineRule="auto"/>
              <w:jc w:val="both"/>
              <w:rPr>
                <w:rFonts w:ascii="Calibri" w:hAnsi="Calibri" w:cs="Calibri"/>
                <w:b/>
                <w:sz w:val="24"/>
                <w:szCs w:val="24"/>
              </w:rPr>
            </w:pPr>
          </w:p>
        </w:tc>
      </w:tr>
      <w:tr w:rsidR="0006598E" w14:paraId="5BD481B3" w14:textId="77777777">
        <w:tc>
          <w:tcPr>
            <w:tcW w:w="3255" w:type="dxa"/>
            <w:shd w:val="clear" w:color="auto" w:fill="D9D9D9" w:themeFill="background1" w:themeFillShade="D9"/>
          </w:tcPr>
          <w:p w14:paraId="5B288FC0"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Cargo</w:t>
            </w:r>
          </w:p>
        </w:tc>
        <w:tc>
          <w:tcPr>
            <w:tcW w:w="5763" w:type="dxa"/>
          </w:tcPr>
          <w:p w14:paraId="3E1F8F98" w14:textId="77777777" w:rsidR="0006598E" w:rsidRDefault="0006598E">
            <w:pPr>
              <w:spacing w:before="120" w:after="120" w:line="240" w:lineRule="auto"/>
              <w:jc w:val="both"/>
              <w:rPr>
                <w:rFonts w:ascii="Calibri" w:hAnsi="Calibri" w:cs="Calibri"/>
                <w:b/>
                <w:sz w:val="24"/>
                <w:szCs w:val="24"/>
              </w:rPr>
            </w:pPr>
          </w:p>
        </w:tc>
      </w:tr>
      <w:tr w:rsidR="0006598E" w14:paraId="49541638" w14:textId="77777777">
        <w:tc>
          <w:tcPr>
            <w:tcW w:w="3255" w:type="dxa"/>
            <w:shd w:val="clear" w:color="auto" w:fill="D9D9D9" w:themeFill="background1" w:themeFillShade="D9"/>
          </w:tcPr>
          <w:p w14:paraId="028094CF"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Registro Geral (RG)</w:t>
            </w:r>
          </w:p>
        </w:tc>
        <w:tc>
          <w:tcPr>
            <w:tcW w:w="5763" w:type="dxa"/>
          </w:tcPr>
          <w:p w14:paraId="19D98871" w14:textId="77777777" w:rsidR="0006598E" w:rsidRDefault="0006598E">
            <w:pPr>
              <w:spacing w:before="120" w:after="120" w:line="240" w:lineRule="auto"/>
              <w:jc w:val="both"/>
              <w:rPr>
                <w:rFonts w:ascii="Calibri" w:hAnsi="Calibri" w:cs="Calibri"/>
                <w:b/>
                <w:sz w:val="24"/>
                <w:szCs w:val="24"/>
              </w:rPr>
            </w:pPr>
          </w:p>
        </w:tc>
      </w:tr>
      <w:tr w:rsidR="0006598E" w14:paraId="2F41C44E" w14:textId="77777777">
        <w:tc>
          <w:tcPr>
            <w:tcW w:w="3255" w:type="dxa"/>
            <w:shd w:val="clear" w:color="auto" w:fill="D9D9D9" w:themeFill="background1" w:themeFillShade="D9"/>
          </w:tcPr>
          <w:p w14:paraId="39E5318B" w14:textId="77777777" w:rsidR="0006598E" w:rsidRDefault="00000000">
            <w:pPr>
              <w:spacing w:before="120" w:after="120" w:line="240" w:lineRule="auto"/>
              <w:jc w:val="both"/>
              <w:rPr>
                <w:rFonts w:ascii="Calibri" w:hAnsi="Calibri" w:cs="Calibri"/>
                <w:sz w:val="24"/>
                <w:szCs w:val="24"/>
              </w:rPr>
            </w:pPr>
            <w:r>
              <w:rPr>
                <w:rFonts w:asciiTheme="majorHAnsi" w:hAnsiTheme="majorHAnsi" w:cstheme="majorHAnsi"/>
                <w:sz w:val="24"/>
                <w:szCs w:val="24"/>
              </w:rPr>
              <w:t>CPF</w:t>
            </w:r>
          </w:p>
        </w:tc>
        <w:tc>
          <w:tcPr>
            <w:tcW w:w="5763" w:type="dxa"/>
          </w:tcPr>
          <w:p w14:paraId="28AA7B1D" w14:textId="77777777" w:rsidR="0006598E" w:rsidRDefault="0006598E">
            <w:pPr>
              <w:spacing w:before="120" w:after="120" w:line="240" w:lineRule="auto"/>
              <w:jc w:val="both"/>
              <w:rPr>
                <w:rFonts w:ascii="Calibri" w:hAnsi="Calibri" w:cs="Calibri"/>
                <w:b/>
                <w:sz w:val="24"/>
                <w:szCs w:val="24"/>
              </w:rPr>
            </w:pPr>
          </w:p>
        </w:tc>
      </w:tr>
      <w:tr w:rsidR="0006598E" w14:paraId="7D0013CC" w14:textId="77777777">
        <w:tc>
          <w:tcPr>
            <w:tcW w:w="3255" w:type="dxa"/>
            <w:shd w:val="clear" w:color="auto" w:fill="D9D9D9" w:themeFill="background1" w:themeFillShade="D9"/>
          </w:tcPr>
          <w:p w14:paraId="0914A3BB"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Ato de nomeação</w:t>
            </w:r>
          </w:p>
        </w:tc>
        <w:tc>
          <w:tcPr>
            <w:tcW w:w="5763" w:type="dxa"/>
          </w:tcPr>
          <w:p w14:paraId="77D9E3AB" w14:textId="77777777" w:rsidR="0006598E" w:rsidRDefault="0006598E">
            <w:pPr>
              <w:spacing w:before="120" w:after="120" w:line="240" w:lineRule="auto"/>
              <w:jc w:val="both"/>
              <w:rPr>
                <w:rFonts w:ascii="Calibri" w:hAnsi="Calibri" w:cs="Calibri"/>
                <w:b/>
                <w:sz w:val="24"/>
                <w:szCs w:val="24"/>
              </w:rPr>
            </w:pPr>
          </w:p>
        </w:tc>
      </w:tr>
      <w:tr w:rsidR="0006598E" w14:paraId="531EB341" w14:textId="77777777">
        <w:tc>
          <w:tcPr>
            <w:tcW w:w="9018" w:type="dxa"/>
            <w:gridSpan w:val="2"/>
            <w:shd w:val="clear" w:color="auto" w:fill="D9D9D9" w:themeFill="background1" w:themeFillShade="D9"/>
          </w:tcPr>
          <w:p w14:paraId="070482E8"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b/>
                <w:sz w:val="24"/>
                <w:szCs w:val="24"/>
              </w:rPr>
              <w:t>2.2. MESTRA OU MESTRE</w:t>
            </w:r>
          </w:p>
        </w:tc>
      </w:tr>
      <w:tr w:rsidR="0006598E" w14:paraId="4D828872" w14:textId="77777777">
        <w:tc>
          <w:tcPr>
            <w:tcW w:w="3255" w:type="dxa"/>
            <w:shd w:val="clear" w:color="auto" w:fill="D9D9D9" w:themeFill="background1" w:themeFillShade="D9"/>
          </w:tcPr>
          <w:p w14:paraId="5BCFAE8F"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lastRenderedPageBreak/>
              <w:t>Nome completo</w:t>
            </w:r>
          </w:p>
        </w:tc>
        <w:tc>
          <w:tcPr>
            <w:tcW w:w="5763" w:type="dxa"/>
          </w:tcPr>
          <w:p w14:paraId="49689E02" w14:textId="77777777" w:rsidR="0006598E" w:rsidRDefault="0006598E">
            <w:pPr>
              <w:spacing w:before="120" w:after="120" w:line="240" w:lineRule="auto"/>
              <w:jc w:val="both"/>
              <w:rPr>
                <w:rFonts w:ascii="Calibri" w:hAnsi="Calibri" w:cs="Calibri"/>
                <w:b/>
                <w:sz w:val="24"/>
                <w:szCs w:val="24"/>
              </w:rPr>
            </w:pPr>
          </w:p>
        </w:tc>
      </w:tr>
      <w:tr w:rsidR="0006598E" w14:paraId="49A90748" w14:textId="77777777">
        <w:tc>
          <w:tcPr>
            <w:tcW w:w="3255" w:type="dxa"/>
            <w:shd w:val="clear" w:color="auto" w:fill="D9D9D9" w:themeFill="background1" w:themeFillShade="D9"/>
          </w:tcPr>
          <w:p w14:paraId="23B94F76"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Endereço completo</w:t>
            </w:r>
          </w:p>
        </w:tc>
        <w:tc>
          <w:tcPr>
            <w:tcW w:w="5763" w:type="dxa"/>
          </w:tcPr>
          <w:p w14:paraId="172A37BD" w14:textId="77777777" w:rsidR="0006598E" w:rsidRDefault="0006598E">
            <w:pPr>
              <w:spacing w:before="120" w:after="120" w:line="240" w:lineRule="auto"/>
              <w:jc w:val="both"/>
              <w:rPr>
                <w:rFonts w:ascii="Calibri" w:hAnsi="Calibri" w:cs="Calibri"/>
                <w:b/>
                <w:sz w:val="24"/>
                <w:szCs w:val="24"/>
              </w:rPr>
            </w:pPr>
          </w:p>
        </w:tc>
      </w:tr>
      <w:tr w:rsidR="0006598E" w14:paraId="71A849FC" w14:textId="77777777">
        <w:tc>
          <w:tcPr>
            <w:tcW w:w="3255" w:type="dxa"/>
            <w:shd w:val="clear" w:color="auto" w:fill="D9D9D9" w:themeFill="background1" w:themeFillShade="D9"/>
          </w:tcPr>
          <w:p w14:paraId="748922C7"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Telefone</w:t>
            </w:r>
          </w:p>
        </w:tc>
        <w:tc>
          <w:tcPr>
            <w:tcW w:w="5763" w:type="dxa"/>
          </w:tcPr>
          <w:p w14:paraId="4C083363" w14:textId="77777777" w:rsidR="0006598E" w:rsidRDefault="0006598E">
            <w:pPr>
              <w:spacing w:before="120" w:after="120" w:line="240" w:lineRule="auto"/>
              <w:jc w:val="both"/>
              <w:rPr>
                <w:rFonts w:ascii="Calibri" w:hAnsi="Calibri" w:cs="Calibri"/>
                <w:b/>
                <w:sz w:val="24"/>
                <w:szCs w:val="24"/>
              </w:rPr>
            </w:pPr>
          </w:p>
        </w:tc>
      </w:tr>
      <w:tr w:rsidR="0006598E" w14:paraId="19673147" w14:textId="77777777">
        <w:tc>
          <w:tcPr>
            <w:tcW w:w="3255" w:type="dxa"/>
            <w:shd w:val="clear" w:color="auto" w:fill="D9D9D9" w:themeFill="background1" w:themeFillShade="D9"/>
          </w:tcPr>
          <w:p w14:paraId="602B2D66"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sz w:val="24"/>
                <w:szCs w:val="24"/>
              </w:rPr>
              <w:t>E-mail</w:t>
            </w:r>
          </w:p>
        </w:tc>
        <w:tc>
          <w:tcPr>
            <w:tcW w:w="5763" w:type="dxa"/>
          </w:tcPr>
          <w:p w14:paraId="73798EC6" w14:textId="77777777" w:rsidR="0006598E" w:rsidRDefault="0006598E">
            <w:pPr>
              <w:spacing w:before="120" w:after="120" w:line="240" w:lineRule="auto"/>
              <w:jc w:val="both"/>
              <w:rPr>
                <w:rFonts w:ascii="Calibri" w:hAnsi="Calibri" w:cs="Calibri"/>
                <w:b/>
                <w:sz w:val="24"/>
                <w:szCs w:val="24"/>
              </w:rPr>
            </w:pPr>
          </w:p>
        </w:tc>
      </w:tr>
    </w:tbl>
    <w:p w14:paraId="26DA2146"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115C6C6D" w14:textId="77777777">
        <w:tc>
          <w:tcPr>
            <w:tcW w:w="9019" w:type="dxa"/>
            <w:shd w:val="clear" w:color="auto" w:fill="D9D9D9" w:themeFill="background1" w:themeFillShade="D9"/>
          </w:tcPr>
          <w:p w14:paraId="193B41EA" w14:textId="77777777" w:rsidR="0006598E" w:rsidRDefault="00000000">
            <w:pPr>
              <w:spacing w:before="120" w:after="120" w:line="240" w:lineRule="auto"/>
              <w:jc w:val="both"/>
              <w:rPr>
                <w:rFonts w:ascii="Calibri" w:hAnsi="Calibri" w:cs="Calibri"/>
                <w:b/>
                <w:sz w:val="24"/>
                <w:szCs w:val="24"/>
              </w:rPr>
            </w:pPr>
            <w:r>
              <w:rPr>
                <w:rFonts w:ascii="Calibri" w:hAnsi="Calibri" w:cs="Calibri"/>
                <w:b/>
                <w:bCs/>
                <w:sz w:val="24"/>
                <w:szCs w:val="24"/>
              </w:rPr>
              <w:t>3.          OBJETO</w:t>
            </w:r>
          </w:p>
        </w:tc>
      </w:tr>
      <w:tr w:rsidR="0006598E" w14:paraId="63DDC0A0" w14:textId="77777777">
        <w:tc>
          <w:tcPr>
            <w:tcW w:w="9019" w:type="dxa"/>
          </w:tcPr>
          <w:p w14:paraId="21B850D7" w14:textId="77777777" w:rsidR="0006598E" w:rsidRDefault="00000000">
            <w:pPr>
              <w:spacing w:line="240" w:lineRule="auto"/>
              <w:jc w:val="both"/>
              <w:rPr>
                <w:rFonts w:ascii="Calibri" w:hAnsi="Calibri"/>
                <w:sz w:val="24"/>
                <w:szCs w:val="24"/>
              </w:rPr>
            </w:pPr>
            <w:r>
              <w:rPr>
                <w:rFonts w:asciiTheme="majorHAnsi" w:hAnsiTheme="majorHAnsi" w:cstheme="majorBidi"/>
                <w:sz w:val="24"/>
                <w:szCs w:val="24"/>
              </w:rPr>
              <w:t xml:space="preserve">O presente Termo de Concessão de Bolsa Cultura Viva tem como objeto realizar as atividades de valorização, fortalecimento e transmissão dos conhecimentos tradicionais e populares propostas pela(o) Mestra(e) </w:t>
            </w:r>
            <w:r>
              <w:rPr>
                <w:rFonts w:asciiTheme="majorHAnsi" w:hAnsiTheme="majorHAnsi" w:cstheme="majorBidi"/>
                <w:sz w:val="24"/>
                <w:szCs w:val="24"/>
                <w:highlight w:val="yellow"/>
              </w:rPr>
              <w:t>XXXX</w:t>
            </w:r>
            <w:r>
              <w:rPr>
                <w:rFonts w:asciiTheme="majorHAnsi" w:hAnsiTheme="majorHAnsi" w:cstheme="majorBidi"/>
                <w:sz w:val="24"/>
                <w:szCs w:val="24"/>
              </w:rPr>
              <w:t xml:space="preserve">, conforme o Plano de Atividades </w:t>
            </w:r>
            <w:r>
              <w:rPr>
                <w:rFonts w:asciiTheme="majorHAnsi" w:hAnsiTheme="majorHAnsi" w:cstheme="majorBidi"/>
                <w:sz w:val="24"/>
                <w:szCs w:val="24"/>
                <w:highlight w:val="yellow"/>
              </w:rPr>
              <w:t>XXXXXXXX</w:t>
            </w:r>
            <w:r>
              <w:rPr>
                <w:rFonts w:asciiTheme="majorHAnsi" w:hAnsiTheme="majorHAnsi" w:cstheme="majorBidi"/>
                <w:sz w:val="24"/>
                <w:szCs w:val="24"/>
              </w:rPr>
              <w:t xml:space="preserve"> </w:t>
            </w:r>
            <w:r>
              <w:rPr>
                <w:rFonts w:asciiTheme="majorHAnsi" w:hAnsiTheme="majorHAnsi" w:cstheme="majorBidi"/>
                <w:sz w:val="24"/>
                <w:szCs w:val="24"/>
                <w:highlight w:val="white"/>
              </w:rPr>
              <w:t>para o desenvolvimento das ações estruturantes da Política Nacional de Cultura Viva</w:t>
            </w:r>
            <w:r>
              <w:rPr>
                <w:rFonts w:asciiTheme="majorHAnsi" w:hAnsiTheme="majorHAnsi" w:cstheme="majorBidi"/>
                <w:sz w:val="24"/>
                <w:szCs w:val="24"/>
              </w:rPr>
              <w:t>.</w:t>
            </w:r>
          </w:p>
          <w:p w14:paraId="37020745" w14:textId="77777777" w:rsidR="0006598E" w:rsidRDefault="00000000">
            <w:pPr>
              <w:spacing w:before="120" w:after="120" w:line="240" w:lineRule="auto"/>
              <w:jc w:val="both"/>
              <w:rPr>
                <w:rFonts w:ascii="Calibri" w:hAnsi="Calibri" w:cs="Calibri"/>
                <w:b/>
                <w:bCs/>
                <w:sz w:val="24"/>
                <w:szCs w:val="24"/>
              </w:rPr>
            </w:pPr>
            <w:r>
              <w:rPr>
                <w:rFonts w:asciiTheme="majorHAnsi" w:hAnsiTheme="majorHAnsi" w:cstheme="majorBidi"/>
                <w:sz w:val="24"/>
                <w:szCs w:val="24"/>
              </w:rPr>
              <w:t>O Plano de Atividades aprovado integra este Termo de Concessão de Bolsa Cultura Viva, independente de transcrição.</w:t>
            </w:r>
          </w:p>
        </w:tc>
      </w:tr>
    </w:tbl>
    <w:p w14:paraId="4D339CCE"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144EE3E9" w14:textId="77777777">
        <w:tc>
          <w:tcPr>
            <w:tcW w:w="9019" w:type="dxa"/>
            <w:shd w:val="clear" w:color="auto" w:fill="D9D9D9" w:themeFill="background1" w:themeFillShade="D9"/>
          </w:tcPr>
          <w:p w14:paraId="50136D24"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b/>
                <w:bCs/>
                <w:sz w:val="24"/>
                <w:szCs w:val="24"/>
              </w:rPr>
              <w:t>4.          OBRIGAÇÃO DAS PARTES</w:t>
            </w:r>
          </w:p>
        </w:tc>
      </w:tr>
      <w:tr w:rsidR="0006598E" w14:paraId="187BC1E5" w14:textId="77777777">
        <w:tc>
          <w:tcPr>
            <w:tcW w:w="9019" w:type="dxa"/>
            <w:shd w:val="clear" w:color="auto" w:fill="D9D9D9" w:themeFill="background1" w:themeFillShade="D9"/>
          </w:tcPr>
          <w:p w14:paraId="318A0F5A" w14:textId="77777777" w:rsidR="0006598E" w:rsidRDefault="00000000">
            <w:pPr>
              <w:spacing w:before="120" w:after="120" w:line="240" w:lineRule="auto"/>
              <w:jc w:val="both"/>
              <w:rPr>
                <w:rFonts w:ascii="Calibri" w:hAnsi="Calibri"/>
                <w:b/>
                <w:bCs/>
                <w:sz w:val="24"/>
                <w:szCs w:val="24"/>
              </w:rPr>
            </w:pPr>
            <w:r>
              <w:rPr>
                <w:rFonts w:asciiTheme="majorHAnsi" w:hAnsiTheme="majorHAnsi" w:cstheme="majorBidi"/>
                <w:b/>
                <w:bCs/>
                <w:sz w:val="24"/>
                <w:szCs w:val="24"/>
              </w:rPr>
              <w:t>4.1. Responsabilidades do órgão Secretaria Municipal de Cultura - CONCEDENTE</w:t>
            </w:r>
          </w:p>
        </w:tc>
      </w:tr>
      <w:tr w:rsidR="0006598E" w14:paraId="150426E9" w14:textId="77777777">
        <w:tc>
          <w:tcPr>
            <w:tcW w:w="9019" w:type="dxa"/>
          </w:tcPr>
          <w:p w14:paraId="5ECA2BA2" w14:textId="77777777" w:rsidR="0006598E" w:rsidRDefault="00000000">
            <w:pPr>
              <w:pStyle w:val="PargrafodaLista"/>
              <w:numPr>
                <w:ilvl w:val="0"/>
                <w:numId w:val="2"/>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Transferir os recursos à MESTRA ou ao MESTRE;</w:t>
            </w:r>
          </w:p>
          <w:p w14:paraId="0CF8BD99" w14:textId="77777777" w:rsidR="0006598E" w:rsidRDefault="00000000">
            <w:pPr>
              <w:pStyle w:val="PargrafodaLista"/>
              <w:numPr>
                <w:ilvl w:val="0"/>
                <w:numId w:val="2"/>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Orientar sobre o procedimento de apresentação do Relatório do Bolsista; e</w:t>
            </w:r>
          </w:p>
          <w:p w14:paraId="3D8E3E98" w14:textId="77777777" w:rsidR="0006598E" w:rsidRDefault="00000000">
            <w:pPr>
              <w:pStyle w:val="PargrafodaLista"/>
              <w:numPr>
                <w:ilvl w:val="0"/>
                <w:numId w:val="2"/>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Analisar e emitir parecer sobre o Relatório do Bolsista</w:t>
            </w:r>
          </w:p>
        </w:tc>
      </w:tr>
      <w:tr w:rsidR="0006598E" w14:paraId="799176DE" w14:textId="77777777">
        <w:tc>
          <w:tcPr>
            <w:tcW w:w="9019" w:type="dxa"/>
            <w:shd w:val="clear" w:color="auto" w:fill="D9D9D9" w:themeFill="background1" w:themeFillShade="D9"/>
          </w:tcPr>
          <w:p w14:paraId="5B557C61" w14:textId="77777777" w:rsidR="0006598E" w:rsidRDefault="00000000">
            <w:pPr>
              <w:spacing w:before="120" w:after="120" w:line="240" w:lineRule="auto"/>
              <w:jc w:val="both"/>
              <w:rPr>
                <w:rFonts w:ascii="Calibri" w:hAnsi="Calibri"/>
                <w:b/>
                <w:bCs/>
                <w:sz w:val="24"/>
                <w:szCs w:val="24"/>
              </w:rPr>
            </w:pPr>
            <w:r>
              <w:rPr>
                <w:rFonts w:asciiTheme="majorHAnsi" w:hAnsiTheme="majorHAnsi" w:cstheme="majorBidi"/>
                <w:b/>
                <w:bCs/>
                <w:sz w:val="24"/>
                <w:szCs w:val="24"/>
              </w:rPr>
              <w:t>4.2. Responsabilidades da MESTRA OU MESTRE</w:t>
            </w:r>
          </w:p>
        </w:tc>
      </w:tr>
      <w:tr w:rsidR="0006598E" w14:paraId="7E155B48" w14:textId="77777777">
        <w:tc>
          <w:tcPr>
            <w:tcW w:w="9019" w:type="dxa"/>
          </w:tcPr>
          <w:p w14:paraId="5C8A167C" w14:textId="77777777" w:rsidR="0006598E" w:rsidRDefault="00000000">
            <w:pPr>
              <w:pStyle w:val="PargrafodaLista"/>
              <w:numPr>
                <w:ilvl w:val="0"/>
                <w:numId w:val="1"/>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Cumprir os regramentos do referido Edital de Seleção;</w:t>
            </w:r>
          </w:p>
          <w:p w14:paraId="388D8C5B" w14:textId="77777777" w:rsidR="0006598E" w:rsidRDefault="00000000">
            <w:pPr>
              <w:pStyle w:val="PargrafodaLista"/>
              <w:numPr>
                <w:ilvl w:val="0"/>
                <w:numId w:val="1"/>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Realizar as atividades que fazem parte do Plano de Atividades selecionado;</w:t>
            </w:r>
          </w:p>
          <w:p w14:paraId="294E5BD2" w14:textId="77777777" w:rsidR="0006598E" w:rsidRDefault="00000000">
            <w:pPr>
              <w:pStyle w:val="PargrafodaLista"/>
              <w:numPr>
                <w:ilvl w:val="0"/>
                <w:numId w:val="1"/>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Comunicar a Gerencia de Projetos Culturais e Planejamento Estratégico qualquer necessidade de ajuste e/ou alteração no Plano de Atividades selecionado;</w:t>
            </w:r>
          </w:p>
          <w:p w14:paraId="3E255C2F" w14:textId="77777777" w:rsidR="0006598E" w:rsidRDefault="00000000">
            <w:pPr>
              <w:pStyle w:val="PargrafodaLista"/>
              <w:numPr>
                <w:ilvl w:val="0"/>
                <w:numId w:val="1"/>
              </w:numPr>
              <w:spacing w:before="120" w:after="120" w:line="240" w:lineRule="auto"/>
              <w:jc w:val="both"/>
              <w:rPr>
                <w:rFonts w:ascii="Calibri" w:hAnsi="Calibri" w:cs="Calibri"/>
                <w:bCs/>
                <w:sz w:val="24"/>
                <w:szCs w:val="24"/>
              </w:rPr>
            </w:pPr>
            <w:r>
              <w:rPr>
                <w:rFonts w:asciiTheme="majorHAnsi" w:hAnsiTheme="majorHAnsi" w:cstheme="majorHAnsi"/>
                <w:bCs/>
                <w:sz w:val="24"/>
                <w:szCs w:val="24"/>
              </w:rPr>
              <w:t>Comunicar a Gerencia de Projetos Culturais e Planejamento Estratégico qualquer imprevisto que impossibilite a realização do Plano de Atividades selecionado;</w:t>
            </w:r>
          </w:p>
          <w:p w14:paraId="3A4E4932" w14:textId="77777777" w:rsidR="0006598E" w:rsidRDefault="00000000">
            <w:pPr>
              <w:pStyle w:val="PargrafodaLista"/>
              <w:numPr>
                <w:ilvl w:val="0"/>
                <w:numId w:val="1"/>
              </w:numPr>
              <w:spacing w:before="120" w:after="120" w:line="240" w:lineRule="auto"/>
              <w:jc w:val="both"/>
              <w:rPr>
                <w:rFonts w:ascii="Calibri" w:hAnsi="Calibri"/>
                <w:sz w:val="24"/>
                <w:szCs w:val="24"/>
              </w:rPr>
            </w:pPr>
            <w:r>
              <w:rPr>
                <w:rFonts w:asciiTheme="majorHAnsi" w:hAnsiTheme="majorHAnsi" w:cstheme="majorBidi"/>
                <w:sz w:val="24"/>
                <w:szCs w:val="24"/>
              </w:rPr>
              <w:t xml:space="preserve">Apresentar o Relatório de Bolsista no prazo máximo de 30 (trinta) dias contados do fim da vigência do Termo de Concessão de Bolsa Cultura Viva; </w:t>
            </w:r>
          </w:p>
          <w:p w14:paraId="685AE000" w14:textId="77777777" w:rsidR="0006598E" w:rsidRDefault="00000000">
            <w:pPr>
              <w:pStyle w:val="PargrafodaLista"/>
              <w:numPr>
                <w:ilvl w:val="0"/>
                <w:numId w:val="1"/>
              </w:numPr>
              <w:spacing w:before="120" w:after="120" w:line="240" w:lineRule="auto"/>
              <w:jc w:val="both"/>
              <w:rPr>
                <w:rFonts w:ascii="Calibri" w:hAnsi="Calibri"/>
              </w:rPr>
            </w:pPr>
            <w:r>
              <w:rPr>
                <w:rFonts w:asciiTheme="majorHAnsi" w:hAnsiTheme="majorHAnsi" w:cstheme="majorBidi"/>
                <w:sz w:val="24"/>
                <w:szCs w:val="24"/>
              </w:rPr>
              <w:t>Entregar a Gerencia de Projetos Culturais um exemplar do produto gerado a partir do Plano de Atividades selecionado, caso haja, em até 30 (trinta)</w:t>
            </w:r>
            <w:r>
              <w:rPr>
                <w:rFonts w:asciiTheme="majorHAnsi" w:hAnsiTheme="majorHAnsi" w:cstheme="majorBidi"/>
                <w:color w:val="FF0000"/>
                <w:sz w:val="24"/>
                <w:szCs w:val="24"/>
              </w:rPr>
              <w:t xml:space="preserve"> </w:t>
            </w:r>
            <w:r>
              <w:rPr>
                <w:rFonts w:asciiTheme="majorHAnsi" w:hAnsiTheme="majorHAnsi" w:cstheme="majorBidi"/>
                <w:sz w:val="24"/>
                <w:szCs w:val="24"/>
              </w:rPr>
              <w:t>dias após a entrega do Relatório de Bolsista; e</w:t>
            </w:r>
          </w:p>
          <w:p w14:paraId="01503BDE" w14:textId="77777777" w:rsidR="0006598E" w:rsidRDefault="00000000">
            <w:pPr>
              <w:pStyle w:val="PargrafodaLista"/>
              <w:numPr>
                <w:ilvl w:val="0"/>
                <w:numId w:val="1"/>
              </w:numPr>
              <w:spacing w:before="120" w:after="120" w:line="240" w:lineRule="auto"/>
              <w:jc w:val="both"/>
              <w:rPr>
                <w:rFonts w:ascii="Calibri" w:hAnsi="Calibri"/>
                <w:sz w:val="24"/>
                <w:szCs w:val="24"/>
              </w:rPr>
            </w:pPr>
            <w:r>
              <w:rPr>
                <w:rFonts w:asciiTheme="majorHAnsi" w:hAnsiTheme="majorHAnsi" w:cstheme="majorBidi"/>
                <w:sz w:val="24"/>
                <w:szCs w:val="24"/>
              </w:rPr>
              <w:t>Atender a qualquer solicitação regular feita pela Gerencia de Projetos Culturais e Planejamento Estratégico, no prazo de máximo de 10 (dez)</w:t>
            </w:r>
            <w:r>
              <w:rPr>
                <w:rFonts w:asciiTheme="majorHAnsi" w:hAnsiTheme="majorHAnsi" w:cstheme="majorBidi"/>
                <w:color w:val="FF0000"/>
                <w:sz w:val="24"/>
                <w:szCs w:val="24"/>
              </w:rPr>
              <w:t xml:space="preserve"> </w:t>
            </w:r>
            <w:r>
              <w:rPr>
                <w:rFonts w:asciiTheme="majorHAnsi" w:hAnsiTheme="majorHAnsi" w:cstheme="majorBidi"/>
                <w:sz w:val="24"/>
                <w:szCs w:val="24"/>
              </w:rPr>
              <w:t>dias contados do recebimento da notificação, que pode se dar por via telefônica, mensagem eletrônica, ou ainda, presencialmente.</w:t>
            </w:r>
          </w:p>
        </w:tc>
      </w:tr>
    </w:tbl>
    <w:p w14:paraId="145BDCBC"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7D2A6B45" w14:textId="77777777">
        <w:tc>
          <w:tcPr>
            <w:tcW w:w="9019" w:type="dxa"/>
            <w:shd w:val="clear" w:color="auto" w:fill="D9D9D9" w:themeFill="background1" w:themeFillShade="D9"/>
          </w:tcPr>
          <w:p w14:paraId="232FD5D1" w14:textId="77777777" w:rsidR="0006598E" w:rsidRDefault="00000000">
            <w:pPr>
              <w:spacing w:before="120" w:after="120" w:line="240" w:lineRule="auto"/>
              <w:jc w:val="both"/>
              <w:rPr>
                <w:rFonts w:ascii="Calibri" w:hAnsi="Calibri" w:cs="Calibri"/>
                <w:b/>
                <w:sz w:val="24"/>
                <w:szCs w:val="24"/>
              </w:rPr>
            </w:pPr>
            <w:r>
              <w:rPr>
                <w:rFonts w:ascii="Calibri" w:hAnsi="Calibri" w:cs="Calibri"/>
                <w:b/>
                <w:bCs/>
                <w:sz w:val="24"/>
                <w:szCs w:val="24"/>
              </w:rPr>
              <w:t>5.          DOS RECURSOS FINANCEIROS</w:t>
            </w:r>
          </w:p>
        </w:tc>
      </w:tr>
      <w:tr w:rsidR="0006598E" w14:paraId="5372E1B6" w14:textId="77777777">
        <w:tc>
          <w:tcPr>
            <w:tcW w:w="9019" w:type="dxa"/>
          </w:tcPr>
          <w:p w14:paraId="5F6226AF" w14:textId="77777777" w:rsidR="0006598E" w:rsidRDefault="00000000">
            <w:pPr>
              <w:spacing w:line="240" w:lineRule="auto"/>
              <w:jc w:val="both"/>
              <w:rPr>
                <w:rFonts w:ascii="Calibri" w:hAnsi="Calibri"/>
                <w:sz w:val="24"/>
                <w:szCs w:val="24"/>
              </w:rPr>
            </w:pPr>
            <w:r>
              <w:rPr>
                <w:rFonts w:asciiTheme="majorHAnsi" w:hAnsiTheme="majorHAnsi" w:cstheme="majorBidi"/>
                <w:sz w:val="24"/>
                <w:szCs w:val="24"/>
              </w:rPr>
              <w:t>Para execução do Plano de Atividades deste Termo de Concessão de Bolsa Cultura Viva, serão disponibilizados pelo Secretaria Municipal de Cultura</w:t>
            </w:r>
            <w:r>
              <w:rPr>
                <w:rFonts w:asciiTheme="majorHAnsi" w:hAnsiTheme="majorHAnsi" w:cstheme="majorBidi"/>
                <w:color w:val="FF0000"/>
                <w:sz w:val="24"/>
                <w:szCs w:val="24"/>
              </w:rPr>
              <w:t xml:space="preserve"> </w:t>
            </w:r>
            <w:r>
              <w:rPr>
                <w:rFonts w:asciiTheme="majorHAnsi" w:hAnsiTheme="majorHAnsi" w:cstheme="majorBidi"/>
                <w:sz w:val="24"/>
                <w:szCs w:val="24"/>
              </w:rPr>
              <w:t xml:space="preserve">recursos no valor total de R$ 12.600,00 (doze mil e seiscentos </w:t>
            </w:r>
            <w:proofErr w:type="gramStart"/>
            <w:r>
              <w:rPr>
                <w:rFonts w:asciiTheme="majorHAnsi" w:hAnsiTheme="majorHAnsi" w:cstheme="majorBidi"/>
                <w:sz w:val="24"/>
                <w:szCs w:val="24"/>
              </w:rPr>
              <w:t>reais )</w:t>
            </w:r>
            <w:proofErr w:type="gramEnd"/>
            <w:r>
              <w:rPr>
                <w:rFonts w:asciiTheme="majorHAnsi" w:hAnsiTheme="majorHAnsi" w:cstheme="majorBidi"/>
                <w:sz w:val="24"/>
                <w:szCs w:val="24"/>
              </w:rPr>
              <w:t xml:space="preserve">, a ser pago em parcelas mensais de R$ 2.100,00(dois mil e cem reais), até o 10º dia útil do mês, durante o prazo de 06 (seis) meses. </w:t>
            </w:r>
          </w:p>
        </w:tc>
      </w:tr>
      <w:tr w:rsidR="0006598E" w14:paraId="24A272AA" w14:textId="77777777">
        <w:tc>
          <w:tcPr>
            <w:tcW w:w="9019" w:type="dxa"/>
          </w:tcPr>
          <w:p w14:paraId="7949F0A9" w14:textId="77777777" w:rsidR="0006598E" w:rsidRDefault="00000000">
            <w:pPr>
              <w:spacing w:before="120" w:after="120" w:line="240" w:lineRule="auto"/>
              <w:jc w:val="both"/>
              <w:rPr>
                <w:rFonts w:ascii="Calibri" w:hAnsi="Calibri" w:cs="Calibri"/>
                <w:b/>
                <w:sz w:val="24"/>
                <w:szCs w:val="24"/>
              </w:rPr>
            </w:pPr>
            <w:r>
              <w:rPr>
                <w:rFonts w:ascii="Calibri" w:hAnsi="Calibri" w:cs="Calibri"/>
                <w:b/>
                <w:sz w:val="24"/>
                <w:szCs w:val="24"/>
              </w:rPr>
              <w:t>5.1. Da movimentação dos recursos financeiros</w:t>
            </w:r>
          </w:p>
        </w:tc>
      </w:tr>
      <w:tr w:rsidR="0006598E" w14:paraId="352FD230" w14:textId="77777777">
        <w:tc>
          <w:tcPr>
            <w:tcW w:w="9019" w:type="dxa"/>
          </w:tcPr>
          <w:p w14:paraId="0715B38F" w14:textId="77777777" w:rsidR="0006598E" w:rsidRDefault="00000000">
            <w:pPr>
              <w:spacing w:before="120" w:after="120" w:line="240" w:lineRule="auto"/>
              <w:jc w:val="both"/>
              <w:rPr>
                <w:rFonts w:ascii="Calibri" w:hAnsi="Calibri" w:cs="Calibri"/>
                <w:sz w:val="24"/>
                <w:szCs w:val="24"/>
              </w:rPr>
            </w:pPr>
            <w:r>
              <w:rPr>
                <w:rFonts w:ascii="Calibri" w:hAnsi="Calibri" w:cs="Calibri"/>
                <w:sz w:val="24"/>
                <w:szCs w:val="24"/>
              </w:rPr>
              <w:t>a) Os recursos referentes ao presente Termo de Concessão de Bolsa Cultura Viva, a serem desembolsados pelo Secretaria Municipal de Cultura, serão depositados em conta corrente ou poupança de qualquer banco que tenha a MESTRA ou o MESTRE como única(o) titular, não sendo aceitas contas conjuntas ou de terceiros, contas correntes de convênio ou instrumentos similares, contas-fácil ou contas-benefício, tais como: Bolsa Família, Bolsa Escola, Aposentadoria, dentre outras. </w:t>
            </w:r>
          </w:p>
          <w:p w14:paraId="66963995" w14:textId="77777777" w:rsidR="0006598E" w:rsidRDefault="00000000">
            <w:pPr>
              <w:spacing w:before="120" w:after="120" w:line="240" w:lineRule="auto"/>
              <w:jc w:val="both"/>
              <w:rPr>
                <w:rFonts w:ascii="Calibri" w:hAnsi="Calibri" w:cs="Calibri"/>
                <w:bCs/>
                <w:sz w:val="24"/>
                <w:szCs w:val="24"/>
              </w:rPr>
            </w:pPr>
            <w:r>
              <w:rPr>
                <w:rFonts w:ascii="Calibri" w:hAnsi="Calibri" w:cs="Calibri"/>
                <w:bCs/>
                <w:sz w:val="24"/>
                <w:szCs w:val="24"/>
              </w:rPr>
              <w:t xml:space="preserve">b) A MESTRA ou MESTRE deverá desenvolver as ações de acordo com o Plano de Atividades, item 4.2, nos meses acordados com a Gerencia de Projetos Culturais e Planejamento Estratégico, podendo ser </w:t>
            </w:r>
            <w:r>
              <w:rPr>
                <w:rFonts w:asciiTheme="majorHAnsi" w:hAnsiTheme="majorHAnsi" w:cstheme="majorHAnsi"/>
                <w:color w:val="000000"/>
                <w:sz w:val="24"/>
                <w:szCs w:val="24"/>
              </w:rPr>
              <w:t xml:space="preserve">prorrogado esse prazo uma única vez por igual período, mediante justificativa da MESTRA ou MESTRE e aprovação da </w:t>
            </w:r>
            <w:r>
              <w:rPr>
                <w:rFonts w:ascii="Calibri" w:hAnsi="Calibri" w:cs="Calibri"/>
                <w:bCs/>
                <w:sz w:val="24"/>
                <w:szCs w:val="24"/>
              </w:rPr>
              <w:t>Gerencia de Projetos Culturais e Planejamento Estratégico.</w:t>
            </w:r>
          </w:p>
          <w:p w14:paraId="2C2BF1A8"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§1º - As Bolsas Cultura Viva serão pagas exclusivamente através de transferência bancária. Em nenhuma hipótese haverá pagamento em espécie.</w:t>
            </w:r>
          </w:p>
          <w:p w14:paraId="2CE27C6B"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§2º - Os comprovantes de transferência serão os documentos comprobatórios de pagamento das Bolsas Cultura Viva.</w:t>
            </w:r>
          </w:p>
          <w:p w14:paraId="07CBEC2B"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 xml:space="preserve">§3º - O recebimento das bolsas Cultura Viva não gera vínculos empregatícios, bem como qualquer ônus de ordem previdenciária entre a MESTRA ou MESTRE e a Secretaria Municipal de Cultura </w:t>
            </w:r>
            <w:r>
              <w:rPr>
                <w:rFonts w:asciiTheme="majorHAnsi" w:hAnsiTheme="majorHAnsi" w:cstheme="majorBidi"/>
                <w:sz w:val="24"/>
                <w:szCs w:val="24"/>
              </w:rPr>
              <w:t>e a Secretaria</w:t>
            </w:r>
            <w:r>
              <w:rPr>
                <w:rFonts w:asciiTheme="majorHAnsi" w:hAnsiTheme="majorHAnsi" w:cstheme="majorBidi"/>
                <w:color w:val="000000" w:themeColor="text1"/>
                <w:sz w:val="24"/>
                <w:szCs w:val="24"/>
              </w:rPr>
              <w:t xml:space="preserve"> de Cidadania e Diversidade Cultural do Ministério da Cultura.</w:t>
            </w:r>
          </w:p>
        </w:tc>
      </w:tr>
    </w:tbl>
    <w:p w14:paraId="069F477E" w14:textId="77777777" w:rsidR="0006598E" w:rsidRDefault="0006598E">
      <w:pPr>
        <w:spacing w:before="120" w:after="120" w:line="240" w:lineRule="auto"/>
        <w:jc w:val="both"/>
        <w:rPr>
          <w:b/>
          <w:bCs/>
        </w:rPr>
      </w:pPr>
    </w:p>
    <w:tbl>
      <w:tblPr>
        <w:tblStyle w:val="Tabelacomgrade"/>
        <w:tblW w:w="9019" w:type="dxa"/>
        <w:tblLayout w:type="fixed"/>
        <w:tblLook w:val="04A0" w:firstRow="1" w:lastRow="0" w:firstColumn="1" w:lastColumn="0" w:noHBand="0" w:noVBand="1"/>
      </w:tblPr>
      <w:tblGrid>
        <w:gridCol w:w="9019"/>
      </w:tblGrid>
      <w:tr w:rsidR="0006598E" w14:paraId="6B40D0BC" w14:textId="77777777">
        <w:tc>
          <w:tcPr>
            <w:tcW w:w="9019" w:type="dxa"/>
            <w:shd w:val="clear" w:color="auto" w:fill="D9D9D9" w:themeFill="background1" w:themeFillShade="D9"/>
          </w:tcPr>
          <w:p w14:paraId="27866E43" w14:textId="77777777" w:rsidR="0006598E" w:rsidRDefault="00000000">
            <w:pPr>
              <w:spacing w:before="120" w:after="120" w:line="240" w:lineRule="auto"/>
              <w:jc w:val="both"/>
              <w:rPr>
                <w:rFonts w:ascii="Calibri" w:hAnsi="Calibri" w:cs="Calibri"/>
                <w:b/>
                <w:sz w:val="24"/>
                <w:szCs w:val="24"/>
              </w:rPr>
            </w:pPr>
            <w:r>
              <w:rPr>
                <w:rFonts w:ascii="Calibri" w:hAnsi="Calibri" w:cs="Calibri"/>
                <w:b/>
                <w:bCs/>
                <w:sz w:val="24"/>
                <w:szCs w:val="24"/>
              </w:rPr>
              <w:t>6.          DA ALTERAÇÃO</w:t>
            </w:r>
          </w:p>
        </w:tc>
      </w:tr>
      <w:tr w:rsidR="0006598E" w14:paraId="753FF4F2" w14:textId="77777777">
        <w:tc>
          <w:tcPr>
            <w:tcW w:w="9019" w:type="dxa"/>
          </w:tcPr>
          <w:p w14:paraId="3094B8AE" w14:textId="77777777" w:rsidR="0006598E" w:rsidRDefault="00000000">
            <w:pPr>
              <w:spacing w:before="120" w:after="120" w:line="240" w:lineRule="auto"/>
              <w:jc w:val="both"/>
              <w:rPr>
                <w:rFonts w:ascii="Calibri" w:hAnsi="Calibri" w:cs="Calibri"/>
                <w:bCs/>
                <w:sz w:val="24"/>
                <w:szCs w:val="24"/>
              </w:rPr>
            </w:pPr>
            <w:r>
              <w:rPr>
                <w:rFonts w:ascii="Calibri" w:hAnsi="Calibri" w:cs="Calibri"/>
                <w:bCs/>
                <w:sz w:val="24"/>
                <w:szCs w:val="24"/>
              </w:rPr>
              <w:t>Este Termo de Bolsa Cultura Viva pode ser alterado por termo aditivo, mediante solicitação fundamentada da MESTRA ou MESTRE ou por iniciativa desde que não haja alteração do objeto acordado.</w:t>
            </w:r>
          </w:p>
          <w:p w14:paraId="547DB2C4" w14:textId="77777777" w:rsidR="0006598E" w:rsidRDefault="00000000">
            <w:pPr>
              <w:spacing w:before="120" w:after="120" w:line="240" w:lineRule="auto"/>
              <w:jc w:val="both"/>
              <w:rPr>
                <w:rFonts w:ascii="Calibri" w:hAnsi="Calibri" w:cs="Calibri"/>
                <w:bCs/>
                <w:sz w:val="24"/>
                <w:szCs w:val="24"/>
              </w:rPr>
            </w:pPr>
            <w:r>
              <w:rPr>
                <w:rFonts w:ascii="Calibri" w:hAnsi="Calibri" w:cs="Calibri"/>
                <w:bCs/>
                <w:sz w:val="24"/>
                <w:szCs w:val="24"/>
              </w:rPr>
              <w:t>A alteração de cronograma que não exija modificações na cláusula de vigência pode ser realizada por termo de apostilamento assinado apenas pela Gerencia de Projetos Culturais e Planejamento Estratégico, sem necessidade de análise jurídica prévia.</w:t>
            </w:r>
          </w:p>
        </w:tc>
      </w:tr>
    </w:tbl>
    <w:p w14:paraId="31A4EFC3"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44200326" w14:textId="77777777">
        <w:tc>
          <w:tcPr>
            <w:tcW w:w="9019" w:type="dxa"/>
            <w:shd w:val="clear" w:color="auto" w:fill="D9D9D9" w:themeFill="background1" w:themeFillShade="D9"/>
          </w:tcPr>
          <w:p w14:paraId="1F8ECB75" w14:textId="77777777" w:rsidR="0006598E" w:rsidRDefault="00000000">
            <w:pPr>
              <w:spacing w:before="120" w:after="120" w:line="240" w:lineRule="auto"/>
              <w:jc w:val="both"/>
              <w:rPr>
                <w:rFonts w:ascii="Calibri" w:hAnsi="Calibri" w:cs="Calibri"/>
                <w:b/>
                <w:sz w:val="24"/>
                <w:szCs w:val="24"/>
              </w:rPr>
            </w:pPr>
            <w:r>
              <w:rPr>
                <w:rFonts w:ascii="Calibri" w:hAnsi="Calibri" w:cs="Calibri"/>
                <w:b/>
                <w:bCs/>
                <w:sz w:val="24"/>
                <w:szCs w:val="24"/>
              </w:rPr>
              <w:t>7.          DA PROPRIEDADE INTELECTUAL</w:t>
            </w:r>
          </w:p>
        </w:tc>
      </w:tr>
      <w:tr w:rsidR="0006598E" w14:paraId="1B5FF90F" w14:textId="77777777">
        <w:tc>
          <w:tcPr>
            <w:tcW w:w="9019" w:type="dxa"/>
          </w:tcPr>
          <w:p w14:paraId="1B2592C3" w14:textId="77777777" w:rsidR="0006598E" w:rsidRDefault="00000000">
            <w:pPr>
              <w:spacing w:line="240" w:lineRule="auto"/>
              <w:jc w:val="both"/>
              <w:textAlignment w:val="top"/>
              <w:outlineLvl w:val="0"/>
              <w:rPr>
                <w:rFonts w:ascii="Calibri" w:hAnsi="Calibri"/>
              </w:rPr>
            </w:pPr>
            <w:r>
              <w:rPr>
                <w:rFonts w:asciiTheme="majorHAnsi" w:hAnsiTheme="majorHAnsi" w:cstheme="majorBidi"/>
                <w:b/>
                <w:bCs/>
                <w:color w:val="000000" w:themeColor="text1"/>
                <w:sz w:val="24"/>
                <w:szCs w:val="24"/>
              </w:rPr>
              <w:lastRenderedPageBreak/>
              <w:t>7.1.</w:t>
            </w:r>
            <w:r>
              <w:rPr>
                <w:rFonts w:asciiTheme="majorHAnsi" w:hAnsiTheme="majorHAnsi" w:cstheme="majorBidi"/>
                <w:color w:val="000000" w:themeColor="text1"/>
                <w:sz w:val="24"/>
                <w:szCs w:val="24"/>
              </w:rPr>
              <w:t xml:space="preserve">     Pelo presente Termo de Concessão de Bolsa Cultura Viva, a MESTRA ou MESTRE cede os direitos de imagem e voz a Secretaria Municipal de Cultura e ao Ministério da Cultura, por tempo indeterminado, para fins de divulgação do mesmo e da Política Nacional Cultura Viva, bem como para fins comprobatórios da prestação de contas do Termo de Concessão de Bolsa Cultura Viva.</w:t>
            </w:r>
          </w:p>
          <w:p w14:paraId="0B7C0109" w14:textId="77777777" w:rsidR="0006598E" w:rsidRDefault="00000000">
            <w:pPr>
              <w:spacing w:line="240" w:lineRule="auto"/>
              <w:jc w:val="both"/>
              <w:textAlignment w:val="top"/>
              <w:outlineLvl w:val="0"/>
              <w:rPr>
                <w:rFonts w:ascii="Calibri" w:hAnsi="Calibri" w:cs="Calibri"/>
              </w:rPr>
            </w:pPr>
            <w:r>
              <w:rPr>
                <w:rFonts w:asciiTheme="majorHAnsi" w:hAnsiTheme="majorHAnsi" w:cstheme="majorHAnsi"/>
                <w:b/>
                <w:bCs/>
                <w:color w:val="000000"/>
                <w:sz w:val="24"/>
                <w:szCs w:val="24"/>
              </w:rPr>
              <w:t>7.2.</w:t>
            </w:r>
            <w:r>
              <w:rPr>
                <w:rFonts w:asciiTheme="majorHAnsi" w:hAnsiTheme="majorHAnsi" w:cstheme="majorHAnsi"/>
                <w:color w:val="000000"/>
                <w:sz w:val="24"/>
                <w:szCs w:val="24"/>
              </w:rPr>
              <w:t xml:space="preserve">     A MESTRA ou MESTRE autoriza que todas as ações do Plano de Atividades sejam fotografadas e/ou gravadas em áudio e vídeo por pessoas designadas pelo Ponto/Pontão de Cultura parceiro da iniciativa e que o material resultante possa ser incorporado ao acervo do Ministério da Cultura, e poderão ser selecionados, formatados e editados pelo Ministério da Cultura para fins de divulgação e publicização no portal e redes sociais do Ministério da Cultura e na Plataforma Rede Cultura Viva</w:t>
            </w:r>
          </w:p>
          <w:p w14:paraId="2F40609B" w14:textId="77777777" w:rsidR="0006598E" w:rsidRDefault="00000000">
            <w:pPr>
              <w:spacing w:line="240" w:lineRule="auto"/>
              <w:jc w:val="both"/>
              <w:textAlignment w:val="top"/>
              <w:outlineLvl w:val="0"/>
              <w:rPr>
                <w:rFonts w:ascii="Calibri" w:hAnsi="Calibri" w:cs="Calibri"/>
              </w:rPr>
            </w:pPr>
            <w:r>
              <w:rPr>
                <w:rFonts w:asciiTheme="majorHAnsi" w:hAnsiTheme="majorHAnsi" w:cstheme="majorHAnsi"/>
                <w:b/>
                <w:bCs/>
                <w:color w:val="000000"/>
                <w:sz w:val="24"/>
                <w:szCs w:val="24"/>
              </w:rPr>
              <w:t>7.3.</w:t>
            </w:r>
            <w:r>
              <w:rPr>
                <w:rFonts w:asciiTheme="majorHAnsi" w:hAnsiTheme="majorHAnsi" w:cstheme="majorHAnsi"/>
                <w:color w:val="000000"/>
                <w:sz w:val="24"/>
                <w:szCs w:val="24"/>
              </w:rPr>
              <w:t xml:space="preserve">     A MESTRA ou MESTRE deverá privilegiar o uso de soluções com licenciamento em formatos abertos e produtos sob licenças livres, que permitam a livre cópia, distribuição, exibição e execução, assim como a criação de obras derivadas.</w:t>
            </w:r>
          </w:p>
          <w:p w14:paraId="53C6E5D6" w14:textId="77777777" w:rsidR="0006598E" w:rsidRDefault="00000000">
            <w:pPr>
              <w:spacing w:line="240" w:lineRule="auto"/>
              <w:jc w:val="both"/>
              <w:textAlignment w:val="top"/>
              <w:outlineLvl w:val="0"/>
              <w:rPr>
                <w:rFonts w:ascii="Calibri" w:hAnsi="Calibri" w:cs="Calibri"/>
              </w:rPr>
            </w:pPr>
            <w:r>
              <w:rPr>
                <w:rFonts w:asciiTheme="majorHAnsi" w:hAnsiTheme="majorHAnsi" w:cstheme="majorHAnsi"/>
                <w:b/>
                <w:bCs/>
                <w:color w:val="000000"/>
                <w:sz w:val="24"/>
                <w:szCs w:val="24"/>
                <w:highlight w:val="white"/>
              </w:rPr>
              <w:t>7.4.</w:t>
            </w:r>
            <w:r>
              <w:rPr>
                <w:rFonts w:asciiTheme="majorHAnsi" w:hAnsiTheme="majorHAnsi" w:cstheme="majorHAnsi"/>
                <w:color w:val="000000"/>
                <w:sz w:val="24"/>
                <w:szCs w:val="24"/>
                <w:highlight w:val="white"/>
              </w:rPr>
              <w:t xml:space="preserve">     As peças de divulgação relacionadas ao Termo de Concessão de Bolsa Cultura Viva deverão ter caráter educativo, cultural, informativo ou de orientação social e não poderão trazer nomes, símbolos ou imagens que caracterizem promoção pessoal de autoridades ou servidores públicos.</w:t>
            </w:r>
          </w:p>
          <w:p w14:paraId="106C202E" w14:textId="77777777" w:rsidR="0006598E" w:rsidRDefault="00000000">
            <w:pPr>
              <w:spacing w:line="240" w:lineRule="auto"/>
              <w:jc w:val="both"/>
              <w:textAlignment w:val="top"/>
              <w:outlineLvl w:val="0"/>
              <w:rPr>
                <w:rFonts w:ascii="Calibri" w:hAnsi="Calibri" w:cs="Calibri"/>
              </w:rPr>
            </w:pPr>
            <w:r>
              <w:rPr>
                <w:rFonts w:asciiTheme="majorHAnsi" w:hAnsiTheme="majorHAnsi" w:cstheme="majorHAnsi"/>
                <w:b/>
                <w:bCs/>
                <w:color w:val="000000"/>
                <w:sz w:val="24"/>
                <w:szCs w:val="24"/>
                <w:highlight w:val="white"/>
              </w:rPr>
              <w:t>7.5.</w:t>
            </w:r>
            <w:r>
              <w:rPr>
                <w:rFonts w:asciiTheme="majorHAnsi" w:hAnsiTheme="majorHAnsi" w:cstheme="majorHAnsi"/>
                <w:color w:val="000000"/>
                <w:sz w:val="24"/>
                <w:szCs w:val="24"/>
                <w:highlight w:val="white"/>
              </w:rPr>
              <w:t xml:space="preserve">     É obrigatória a menção a</w:t>
            </w:r>
            <w:r>
              <w:rPr>
                <w:rFonts w:asciiTheme="majorHAnsi" w:hAnsiTheme="majorHAnsi" w:cstheme="majorHAnsi"/>
                <w:color w:val="000000"/>
                <w:sz w:val="24"/>
                <w:szCs w:val="24"/>
              </w:rPr>
              <w:t xml:space="preserve"> Prefeitura de Goiânia</w:t>
            </w:r>
            <w:r>
              <w:rPr>
                <w:rFonts w:ascii="Calibri" w:hAnsi="Calibri" w:cs="Calibri"/>
                <w:bCs/>
                <w:sz w:val="24"/>
                <w:szCs w:val="24"/>
              </w:rPr>
              <w:t>,</w:t>
            </w:r>
            <w:r>
              <w:rPr>
                <w:rFonts w:asciiTheme="majorHAnsi" w:hAnsiTheme="majorHAnsi" w:cstheme="majorHAnsi"/>
                <w:sz w:val="24"/>
                <w:szCs w:val="24"/>
              </w:rPr>
              <w:t xml:space="preserve"> </w:t>
            </w:r>
            <w:r>
              <w:rPr>
                <w:rFonts w:asciiTheme="majorHAnsi" w:hAnsiTheme="majorHAnsi" w:cstheme="majorHAnsi"/>
                <w:color w:val="000000"/>
                <w:sz w:val="24"/>
                <w:szCs w:val="24"/>
                <w:highlight w:val="white"/>
              </w:rPr>
              <w:t xml:space="preserve">à Secretaria de Cidadania e Diversidade Cultural, ao Ministério da Cultura e à Política Nacional de Cultura Viva nas ações culturais realizadas, </w:t>
            </w:r>
            <w:r>
              <w:rPr>
                <w:rFonts w:asciiTheme="majorHAnsi" w:hAnsiTheme="majorHAnsi" w:cstheme="majorHAnsi"/>
                <w:color w:val="000000"/>
                <w:sz w:val="24"/>
                <w:szCs w:val="24"/>
              </w:rPr>
              <w:t>promocionais ou não,</w:t>
            </w:r>
            <w:r>
              <w:rPr>
                <w:rFonts w:asciiTheme="majorHAnsi" w:hAnsiTheme="majorHAnsi" w:cstheme="majorHAnsi"/>
                <w:color w:val="000000"/>
                <w:sz w:val="24"/>
                <w:szCs w:val="24"/>
                <w:highlight w:val="white"/>
              </w:rPr>
              <w:t xml:space="preserve"> relacionadas ao recurso do Termo de Concessão de Bolsa Cultura Viva, com a incl</w:t>
            </w:r>
            <w:r>
              <w:rPr>
                <w:rFonts w:asciiTheme="majorHAnsi" w:hAnsiTheme="majorHAnsi" w:cstheme="majorHAnsi"/>
                <w:color w:val="000000"/>
                <w:sz w:val="24"/>
                <w:szCs w:val="24"/>
              </w:rPr>
              <w:t xml:space="preserve">usão da marca da Prefeitura de Goiânia </w:t>
            </w:r>
            <w:r>
              <w:rPr>
                <w:rFonts w:ascii="Calibri" w:hAnsi="Calibri" w:cs="Calibri"/>
                <w:bCs/>
                <w:sz w:val="24"/>
                <w:szCs w:val="24"/>
              </w:rPr>
              <w:t>,</w:t>
            </w:r>
            <w:r>
              <w:rPr>
                <w:rFonts w:asciiTheme="majorHAnsi" w:hAnsiTheme="majorHAnsi" w:cstheme="majorHAnsi"/>
                <w:color w:val="000000"/>
                <w:sz w:val="24"/>
                <w:szCs w:val="24"/>
              </w:rPr>
              <w:t xml:space="preserve"> do Ministério da Cultura/Governo Federal, da Cultura Viva e do Ponto/Pontão de Cultura parceiro em todas as peças de divulgação, se houver, observado o Manual de Uso da Marca do Governo Federal e da Cultura Viva, </w:t>
            </w:r>
            <w:r>
              <w:rPr>
                <w:rFonts w:asciiTheme="majorHAnsi" w:hAnsiTheme="majorHAnsi" w:cstheme="majorHAnsi"/>
                <w:color w:val="000000"/>
                <w:sz w:val="24"/>
                <w:szCs w:val="24"/>
                <w:highlight w:val="white"/>
              </w:rPr>
              <w:t>bem como menção ao apoio recebido em entrevistas e outros meios de comunicação disponíveis à MESTRA ou ao MESTRE.</w:t>
            </w:r>
          </w:p>
          <w:p w14:paraId="1F1B4B98" w14:textId="77777777" w:rsidR="0006598E" w:rsidRDefault="00000000">
            <w:pPr>
              <w:spacing w:line="240" w:lineRule="auto"/>
              <w:jc w:val="both"/>
              <w:textAlignment w:val="top"/>
              <w:outlineLvl w:val="0"/>
              <w:rPr>
                <w:rFonts w:ascii="Calibri" w:hAnsi="Calibri" w:cs="Calibri"/>
              </w:rPr>
            </w:pPr>
            <w:r>
              <w:rPr>
                <w:rFonts w:asciiTheme="majorHAnsi" w:hAnsiTheme="majorHAnsi" w:cstheme="majorHAnsi"/>
                <w:b/>
                <w:bCs/>
                <w:color w:val="000000"/>
                <w:sz w:val="24"/>
                <w:szCs w:val="24"/>
                <w:highlight w:val="white"/>
              </w:rPr>
              <w:t>7.6.</w:t>
            </w:r>
            <w:r>
              <w:rPr>
                <w:rFonts w:asciiTheme="majorHAnsi" w:hAnsiTheme="majorHAnsi" w:cstheme="majorHAnsi"/>
                <w:color w:val="000000"/>
                <w:sz w:val="24"/>
                <w:szCs w:val="24"/>
                <w:highlight w:val="white"/>
              </w:rPr>
              <w:t xml:space="preserve">     Quaisquer referências expressas nas ações culturais realizadas, de divulgação ou não, relacionadas ao recurso do Termo de Concessão de Bolsa Cultura Viva, deverão indicar o seguinte: “Ação contemplada pelo EDITAL DE CHAMAMENTO PÚBLICO Nº XX/2025  – SELEÇÃO DE PLANOS DE ATIVIDADES PARA RECEBIMENTO DE BOLSAS CULTURA VIVA PARA MESTRAS E MESTRES DESTINADAS À VALORIZAÇÃO, FORTALECIMENTO E TRANSMISSÃO DOS CONHECIMENTOS TRADICIONAIS E POPULARES COM RECURSOS DA POLÍTICA NACIONAL ALDIR BLANC DE FOMENTO À CULTURA – PNAB (LEI Nº 14.399/2022)”.</w:t>
            </w:r>
          </w:p>
          <w:p w14:paraId="752FD99C" w14:textId="77777777" w:rsidR="0006598E" w:rsidRDefault="00000000">
            <w:pPr>
              <w:spacing w:line="240" w:lineRule="auto"/>
              <w:jc w:val="both"/>
              <w:outlineLvl w:val="0"/>
              <w:rPr>
                <w:rFonts w:ascii="Calibri" w:eastAsia="Calibri" w:hAnsi="Calibri" w:cs="Calibri"/>
                <w:color w:val="000000"/>
                <w:sz w:val="24"/>
                <w:szCs w:val="24"/>
              </w:rPr>
            </w:pPr>
            <w:r>
              <w:rPr>
                <w:rFonts w:asciiTheme="majorHAnsi" w:hAnsiTheme="majorHAnsi" w:cstheme="majorBidi"/>
                <w:b/>
                <w:bCs/>
                <w:color w:val="000000" w:themeColor="text1"/>
                <w:sz w:val="24"/>
                <w:szCs w:val="24"/>
              </w:rPr>
              <w:t xml:space="preserve">7.7. </w:t>
            </w:r>
            <w:r>
              <w:rPr>
                <w:rFonts w:asciiTheme="majorHAnsi" w:hAnsiTheme="majorHAnsi" w:cstheme="majorBidi"/>
                <w:color w:val="000000" w:themeColor="text1"/>
                <w:sz w:val="24"/>
                <w:szCs w:val="24"/>
              </w:rPr>
              <w:t xml:space="preserve">    </w:t>
            </w:r>
            <w:r>
              <w:rPr>
                <w:rFonts w:ascii="Calibri" w:eastAsia="Calibri" w:hAnsi="Calibri" w:cs="Calibri"/>
                <w:color w:val="000000" w:themeColor="text1"/>
                <w:sz w:val="24"/>
                <w:szCs w:val="24"/>
              </w:rPr>
              <w:t>Caso a Bolsa Cultura Viva resulte em produto(s), a Mestra ou o Mestre destinará, em até 15 (quinze)dias uteis após a entrega do relatório da(o) bolsista, exemplares ao acervo da administração pública e/ou outras destinações que garantam a democratização do acesso e a inclusão na Internet, com os devidos créditos autorais</w:t>
            </w:r>
          </w:p>
          <w:p w14:paraId="47BC3C3E" w14:textId="77777777" w:rsidR="0006598E" w:rsidRDefault="00000000">
            <w:pPr>
              <w:spacing w:line="240" w:lineRule="auto"/>
              <w:jc w:val="both"/>
              <w:outlineLvl w:val="0"/>
              <w:rPr>
                <w:rFonts w:ascii="Calibri" w:hAnsi="Calibri" w:cs="Calibri"/>
                <w:b/>
                <w:bCs/>
                <w:sz w:val="24"/>
                <w:szCs w:val="24"/>
              </w:rPr>
            </w:pPr>
            <w:r>
              <w:rPr>
                <w:rFonts w:asciiTheme="majorHAnsi" w:hAnsiTheme="majorHAnsi" w:cstheme="majorBidi"/>
                <w:b/>
                <w:bCs/>
                <w:color w:val="000000" w:themeColor="text1"/>
                <w:sz w:val="24"/>
                <w:szCs w:val="24"/>
              </w:rPr>
              <w:t>7.8.</w:t>
            </w:r>
            <w:r>
              <w:rPr>
                <w:rFonts w:asciiTheme="majorHAnsi" w:hAnsiTheme="majorHAnsi" w:cstheme="majorBidi"/>
                <w:color w:val="000000" w:themeColor="text1"/>
                <w:sz w:val="24"/>
                <w:szCs w:val="24"/>
              </w:rPr>
              <w:t xml:space="preserve">     A MESTRA ou MESTRE </w:t>
            </w:r>
            <w:r>
              <w:rPr>
                <w:rFonts w:asciiTheme="majorHAnsi" w:hAnsiTheme="majorHAnsi" w:cstheme="majorBidi"/>
                <w:color w:val="000000" w:themeColor="text1"/>
                <w:sz w:val="24"/>
                <w:szCs w:val="24"/>
                <w:highlight w:val="white"/>
              </w:rPr>
              <w:t>poderá ser citado(a), descrito(a) ou utilizado(a)</w:t>
            </w:r>
            <w:r>
              <w:rPr>
                <w:rFonts w:asciiTheme="majorHAnsi" w:hAnsiTheme="majorHAnsi" w:cstheme="majorBidi"/>
                <w:color w:val="000000" w:themeColor="text1"/>
                <w:sz w:val="24"/>
                <w:szCs w:val="24"/>
              </w:rPr>
              <w:t xml:space="preserve"> </w:t>
            </w:r>
            <w:r>
              <w:rPr>
                <w:rFonts w:asciiTheme="majorHAnsi" w:hAnsiTheme="majorHAnsi" w:cstheme="majorBidi"/>
                <w:color w:val="000000" w:themeColor="text1"/>
                <w:sz w:val="24"/>
                <w:szCs w:val="24"/>
                <w:highlight w:val="white"/>
              </w:rPr>
              <w:t>pela Secretaria Municipal de Cultura Ponto/Pontão de Cultura parceiro e pelo Ministério da Cultura, total ou parcialmente, em expedientes, publicações internas ou externas, cartazes ou quaisquer outros meios de promoção e divulgação, incluídos os devidos créditos sem que caiba ao (à) bolsista pleitear a recepção de qualquer valor, inclusive a título autoral.</w:t>
            </w:r>
          </w:p>
        </w:tc>
      </w:tr>
    </w:tbl>
    <w:p w14:paraId="4BE26274"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4A10ECF0" w14:textId="77777777">
        <w:tc>
          <w:tcPr>
            <w:tcW w:w="9019" w:type="dxa"/>
            <w:shd w:val="clear" w:color="auto" w:fill="D9D9D9" w:themeFill="background1" w:themeFillShade="D9"/>
          </w:tcPr>
          <w:p w14:paraId="46E7EA36" w14:textId="77777777" w:rsidR="0006598E" w:rsidRDefault="00000000">
            <w:pPr>
              <w:spacing w:before="120" w:after="120" w:line="240" w:lineRule="auto"/>
              <w:jc w:val="both"/>
              <w:rPr>
                <w:rFonts w:ascii="Calibri" w:hAnsi="Calibri" w:cs="Calibri"/>
                <w:b/>
                <w:bCs/>
                <w:sz w:val="24"/>
                <w:szCs w:val="24"/>
              </w:rPr>
            </w:pPr>
            <w:r>
              <w:rPr>
                <w:rFonts w:ascii="Calibri" w:hAnsi="Calibri" w:cs="Calibri"/>
                <w:b/>
                <w:bCs/>
                <w:sz w:val="24"/>
                <w:szCs w:val="24"/>
              </w:rPr>
              <w:lastRenderedPageBreak/>
              <w:t>8.           DOS CASOS OMISSOS</w:t>
            </w:r>
          </w:p>
        </w:tc>
      </w:tr>
      <w:tr w:rsidR="0006598E" w14:paraId="0D352340" w14:textId="77777777">
        <w:tc>
          <w:tcPr>
            <w:tcW w:w="9019" w:type="dxa"/>
          </w:tcPr>
          <w:p w14:paraId="065E8C6E" w14:textId="77777777" w:rsidR="0006598E" w:rsidRDefault="00000000">
            <w:pPr>
              <w:spacing w:before="120" w:after="120" w:line="240" w:lineRule="auto"/>
              <w:jc w:val="both"/>
              <w:outlineLvl w:val="0"/>
              <w:rPr>
                <w:b/>
                <w:bCs/>
              </w:rPr>
            </w:pPr>
            <w:r>
              <w:rPr>
                <w:rFonts w:asciiTheme="majorHAnsi" w:hAnsiTheme="majorHAnsi" w:cstheme="majorBidi"/>
                <w:b/>
                <w:bCs/>
                <w:color w:val="000000" w:themeColor="text1"/>
                <w:sz w:val="24"/>
                <w:szCs w:val="24"/>
              </w:rPr>
              <w:t xml:space="preserve">8.1. </w:t>
            </w:r>
            <w:r>
              <w:rPr>
                <w:rFonts w:asciiTheme="majorHAnsi" w:hAnsiTheme="majorHAnsi" w:cstheme="majorBidi"/>
                <w:color w:val="000000" w:themeColor="text1"/>
                <w:sz w:val="24"/>
                <w:szCs w:val="24"/>
              </w:rPr>
              <w:t xml:space="preserve">    Os casos omissos no presente Termo de Compromisso Bolsa Cultura Viva serão resolvidos entre a secretaria Municipal de Cultura e a MESTRA ou MESTRE.</w:t>
            </w:r>
          </w:p>
          <w:p w14:paraId="743E183F" w14:textId="77777777" w:rsidR="0006598E" w:rsidRDefault="00000000">
            <w:pPr>
              <w:spacing w:before="120" w:after="120" w:line="240" w:lineRule="auto"/>
              <w:jc w:val="both"/>
              <w:rPr>
                <w:rFonts w:ascii="Calibri" w:hAnsi="Calibri"/>
                <w:color w:val="000000"/>
                <w:sz w:val="24"/>
                <w:szCs w:val="24"/>
              </w:rPr>
            </w:pPr>
            <w:r>
              <w:rPr>
                <w:rFonts w:asciiTheme="majorHAnsi" w:hAnsiTheme="majorHAnsi" w:cstheme="majorBidi"/>
                <w:b/>
                <w:bCs/>
                <w:color w:val="000000" w:themeColor="text1"/>
                <w:sz w:val="24"/>
                <w:szCs w:val="24"/>
              </w:rPr>
              <w:t>8.2.</w:t>
            </w:r>
            <w:r>
              <w:rPr>
                <w:rFonts w:asciiTheme="majorHAnsi" w:hAnsiTheme="majorHAnsi" w:cstheme="majorBidi"/>
                <w:color w:val="000000" w:themeColor="text1"/>
                <w:sz w:val="24"/>
                <w:szCs w:val="24"/>
              </w:rPr>
              <w:t xml:space="preserve"> Quaisquer alterações ao presente instrumento somente serão válidas quando celebradas por escrito e assinadas por ambas as Partes.</w:t>
            </w:r>
          </w:p>
        </w:tc>
      </w:tr>
    </w:tbl>
    <w:p w14:paraId="4A95F330"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7F4BFB1F" w14:textId="77777777">
        <w:tc>
          <w:tcPr>
            <w:tcW w:w="9019" w:type="dxa"/>
            <w:shd w:val="clear" w:color="auto" w:fill="D9D9D9" w:themeFill="background1" w:themeFillShade="D9"/>
          </w:tcPr>
          <w:p w14:paraId="759F6754" w14:textId="77777777" w:rsidR="0006598E" w:rsidRDefault="00000000">
            <w:pPr>
              <w:spacing w:before="120" w:after="120" w:line="240" w:lineRule="auto"/>
              <w:jc w:val="both"/>
              <w:rPr>
                <w:b/>
              </w:rPr>
            </w:pPr>
            <w:r>
              <w:rPr>
                <w:rFonts w:ascii="Calibri" w:hAnsi="Calibri" w:cs="Calibri"/>
                <w:b/>
                <w:bCs/>
                <w:sz w:val="24"/>
                <w:szCs w:val="24"/>
              </w:rPr>
              <w:t>9.          DO PRAZO DE VIGÊNCIA</w:t>
            </w:r>
          </w:p>
        </w:tc>
      </w:tr>
      <w:tr w:rsidR="0006598E" w14:paraId="0AB6BC1E" w14:textId="77777777">
        <w:tc>
          <w:tcPr>
            <w:tcW w:w="9019" w:type="dxa"/>
          </w:tcPr>
          <w:p w14:paraId="20EDCCF9" w14:textId="77777777" w:rsidR="0006598E" w:rsidRDefault="00000000">
            <w:pPr>
              <w:spacing w:line="240" w:lineRule="auto"/>
              <w:jc w:val="both"/>
              <w:rPr>
                <w:rFonts w:ascii="Calibri" w:hAnsi="Calibri" w:cs="Calibri"/>
                <w:sz w:val="24"/>
                <w:szCs w:val="24"/>
              </w:rPr>
            </w:pPr>
            <w:r>
              <w:rPr>
                <w:rFonts w:asciiTheme="majorHAnsi" w:hAnsiTheme="majorHAnsi" w:cstheme="majorHAnsi"/>
                <w:sz w:val="24"/>
                <w:szCs w:val="24"/>
              </w:rPr>
              <w:t>O prazo de vigência deste Termo de Concessão de Bolsa Cultura Viva será de 06 (seis) meses, contados a partir da data de sua assinatura.</w:t>
            </w:r>
          </w:p>
          <w:p w14:paraId="5DDD37E9" w14:textId="77777777" w:rsidR="0006598E" w:rsidRDefault="00000000">
            <w:pPr>
              <w:spacing w:before="120" w:after="120" w:line="240" w:lineRule="auto"/>
              <w:jc w:val="both"/>
              <w:rPr>
                <w:b/>
              </w:rPr>
            </w:pPr>
            <w:r>
              <w:rPr>
                <w:rFonts w:asciiTheme="majorHAnsi" w:hAnsiTheme="majorHAnsi" w:cstheme="majorHAnsi"/>
                <w:sz w:val="24"/>
                <w:szCs w:val="24"/>
              </w:rPr>
              <w:t xml:space="preserve">Parágrafo Único - A prorrogação do Termo de Concessão de Bolsa Cultura Viva poderá ser realizada pela Secretaria Municipal de Cultura, antes do seu término, uma única vez, por igual período. </w:t>
            </w:r>
          </w:p>
        </w:tc>
      </w:tr>
    </w:tbl>
    <w:p w14:paraId="1F5B6F8A"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6021BFE5" w14:textId="77777777">
        <w:tc>
          <w:tcPr>
            <w:tcW w:w="9019" w:type="dxa"/>
            <w:shd w:val="clear" w:color="auto" w:fill="D9D9D9" w:themeFill="background1" w:themeFillShade="D9"/>
          </w:tcPr>
          <w:p w14:paraId="11D2D428" w14:textId="77777777" w:rsidR="0006598E" w:rsidRDefault="00000000">
            <w:pPr>
              <w:spacing w:before="120" w:after="120" w:line="240" w:lineRule="auto"/>
              <w:jc w:val="both"/>
              <w:rPr>
                <w:b/>
                <w:bCs/>
              </w:rPr>
            </w:pPr>
            <w:r>
              <w:rPr>
                <w:rFonts w:ascii="Calibri" w:hAnsi="Calibri" w:cs="Calibri"/>
                <w:b/>
                <w:bCs/>
                <w:sz w:val="24"/>
                <w:szCs w:val="24"/>
              </w:rPr>
              <w:t>10.          DA RESCISÃO OU EXTINÇÃO</w:t>
            </w:r>
          </w:p>
        </w:tc>
      </w:tr>
      <w:tr w:rsidR="0006598E" w14:paraId="20A31973" w14:textId="77777777">
        <w:tc>
          <w:tcPr>
            <w:tcW w:w="9019" w:type="dxa"/>
          </w:tcPr>
          <w:p w14:paraId="09CBAB55" w14:textId="77777777" w:rsidR="0006598E" w:rsidRDefault="00000000">
            <w:pPr>
              <w:spacing w:line="240" w:lineRule="auto"/>
              <w:jc w:val="both"/>
              <w:textAlignment w:val="top"/>
              <w:outlineLvl w:val="0"/>
              <w:rPr>
                <w:rFonts w:ascii="Calibri" w:hAnsi="Calibri" w:cs="Calibri"/>
                <w:color w:val="000000"/>
                <w:sz w:val="24"/>
                <w:szCs w:val="24"/>
              </w:rPr>
            </w:pPr>
            <w:r>
              <w:rPr>
                <w:rFonts w:asciiTheme="majorHAnsi" w:hAnsiTheme="majorHAnsi" w:cstheme="majorHAnsi"/>
                <w:b/>
                <w:bCs/>
                <w:color w:val="000000"/>
                <w:sz w:val="24"/>
                <w:szCs w:val="24"/>
              </w:rPr>
              <w:t>10.1.</w:t>
            </w:r>
            <w:r>
              <w:rPr>
                <w:rFonts w:asciiTheme="majorHAnsi" w:hAnsiTheme="majorHAnsi" w:cstheme="majorHAnsi"/>
                <w:color w:val="000000"/>
                <w:sz w:val="24"/>
                <w:szCs w:val="24"/>
              </w:rPr>
              <w:t xml:space="preserve">    É facultado a Secretaria Municipal de Cultura e à MESTRA ou ao MESTRE </w:t>
            </w:r>
            <w:r>
              <w:rPr>
                <w:rFonts w:asciiTheme="majorHAnsi" w:hAnsiTheme="majorHAnsi" w:cstheme="majorHAnsi"/>
                <w:sz w:val="24"/>
                <w:szCs w:val="24"/>
              </w:rPr>
              <w:t>rescindir</w:t>
            </w:r>
            <w:r>
              <w:rPr>
                <w:rFonts w:asciiTheme="majorHAnsi" w:hAnsiTheme="majorHAnsi" w:cstheme="majorHAnsi"/>
                <w:color w:val="000000"/>
                <w:sz w:val="24"/>
                <w:szCs w:val="24"/>
              </w:rPr>
              <w:t xml:space="preserve"> este Termo de Concessão de Bolsa Cultura Viva, a qualquer tempo.</w:t>
            </w:r>
          </w:p>
          <w:p w14:paraId="65788802" w14:textId="77777777" w:rsidR="0006598E" w:rsidRDefault="00000000">
            <w:pPr>
              <w:spacing w:line="240" w:lineRule="auto"/>
              <w:jc w:val="both"/>
              <w:textAlignment w:val="top"/>
              <w:outlineLvl w:val="0"/>
              <w:rPr>
                <w:rFonts w:ascii="Calibri" w:hAnsi="Calibri" w:cs="Calibri"/>
                <w:color w:val="000000"/>
                <w:sz w:val="24"/>
                <w:szCs w:val="24"/>
              </w:rPr>
            </w:pPr>
            <w:r>
              <w:rPr>
                <w:rFonts w:asciiTheme="majorHAnsi" w:hAnsiTheme="majorHAnsi" w:cstheme="majorHAnsi"/>
                <w:b/>
                <w:bCs/>
                <w:color w:val="000000"/>
                <w:sz w:val="24"/>
                <w:szCs w:val="24"/>
              </w:rPr>
              <w:t>10.2.</w:t>
            </w:r>
            <w:r>
              <w:rPr>
                <w:rFonts w:asciiTheme="majorHAnsi" w:hAnsiTheme="majorHAnsi" w:cstheme="majorHAnsi"/>
                <w:color w:val="000000"/>
                <w:sz w:val="24"/>
                <w:szCs w:val="24"/>
              </w:rPr>
              <w:t xml:space="preserve">     O presente Termo de Concessão de Bolsa Cultura Viva poderá ser rescindido:</w:t>
            </w:r>
          </w:p>
          <w:p w14:paraId="5C06B467" w14:textId="77777777" w:rsidR="0006598E" w:rsidRDefault="00000000">
            <w:pPr>
              <w:spacing w:line="240" w:lineRule="auto"/>
              <w:jc w:val="both"/>
              <w:rPr>
                <w:rFonts w:ascii="Calibri" w:eastAsia="Times New Roman" w:hAnsi="Calibri"/>
                <w:color w:val="000000"/>
                <w:sz w:val="24"/>
                <w:szCs w:val="24"/>
              </w:rPr>
            </w:pPr>
            <w:r>
              <w:rPr>
                <w:rFonts w:asciiTheme="majorHAnsi" w:hAnsiTheme="majorHAnsi" w:cstheme="majorBidi"/>
                <w:color w:val="000000" w:themeColor="text1"/>
                <w:sz w:val="24"/>
                <w:szCs w:val="24"/>
              </w:rPr>
              <w:t>a) por decisão unilateral de qualquer dos partícipes, independentemente de autorização judicial, mediante prévia notificação, com no mínimo 5 (cinco) dias de antecedência, por escrito ao outro partícipe.</w:t>
            </w:r>
          </w:p>
          <w:p w14:paraId="0843C10B"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b) por descumprimento injustificado de cláusula deste instrumento;</w:t>
            </w:r>
          </w:p>
          <w:p w14:paraId="2A516C82"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c) por irregularidade ou inexecução injustificada, ainda que parcial, do objeto, resultados ou metas pactuadas;</w:t>
            </w:r>
          </w:p>
          <w:p w14:paraId="10BC82D5"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d) por violação da legislação aplicável;</w:t>
            </w:r>
          </w:p>
          <w:p w14:paraId="2AF3E36C"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e) por cometimento de falhas reiteradas na execução;</w:t>
            </w:r>
          </w:p>
          <w:p w14:paraId="696868FE"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f) por má administração de recursos públicos;</w:t>
            </w:r>
          </w:p>
          <w:p w14:paraId="6590D268"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g) por constatação de falsidade ou fraude nas informações ou documentos apresentados;</w:t>
            </w:r>
          </w:p>
          <w:p w14:paraId="7FE4BC77"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h) por não atendimento às recomendações ou determinações decorrentes da fiscalização; e</w:t>
            </w:r>
          </w:p>
          <w:p w14:paraId="051F1586"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i) por outras hipóteses expressamente previstas na legislação aplicável.</w:t>
            </w:r>
          </w:p>
          <w:p w14:paraId="14896590" w14:textId="77777777" w:rsidR="0006598E" w:rsidRDefault="00000000">
            <w:pPr>
              <w:spacing w:line="240" w:lineRule="auto"/>
              <w:jc w:val="both"/>
              <w:rPr>
                <w:rFonts w:ascii="Calibri" w:hAnsi="Calibri"/>
                <w:color w:val="000000"/>
                <w:sz w:val="24"/>
                <w:szCs w:val="24"/>
              </w:rPr>
            </w:pPr>
            <w:r>
              <w:rPr>
                <w:rFonts w:asciiTheme="majorHAnsi" w:hAnsiTheme="majorHAnsi" w:cstheme="majorBidi"/>
                <w:b/>
                <w:bCs/>
                <w:color w:val="000000" w:themeColor="text1"/>
                <w:sz w:val="24"/>
                <w:szCs w:val="24"/>
              </w:rPr>
              <w:t>10.3</w:t>
            </w:r>
            <w:r>
              <w:rPr>
                <w:rFonts w:asciiTheme="majorHAnsi" w:hAnsiTheme="majorHAnsi" w:cstheme="majorBidi"/>
                <w:color w:val="000000" w:themeColor="text1"/>
                <w:sz w:val="24"/>
                <w:szCs w:val="24"/>
              </w:rPr>
              <w:t>. Os casos de rescisão unilateral serão formalmente motivados nos autos do processo administrativo, assegurado o contraditório e a ampla defesa. O prazo de defesa será de 10 (dez) dias da abertura de vista do processo.</w:t>
            </w:r>
          </w:p>
          <w:p w14:paraId="7609FB68" w14:textId="77777777" w:rsidR="0006598E" w:rsidRDefault="00000000">
            <w:pPr>
              <w:spacing w:line="240" w:lineRule="auto"/>
              <w:jc w:val="both"/>
              <w:rPr>
                <w:rFonts w:ascii="Calibri" w:hAnsi="Calibri"/>
                <w:sz w:val="24"/>
                <w:szCs w:val="24"/>
              </w:rPr>
            </w:pPr>
            <w:r>
              <w:rPr>
                <w:rFonts w:asciiTheme="majorHAnsi" w:hAnsiTheme="majorHAnsi" w:cstheme="majorBidi"/>
                <w:b/>
                <w:bCs/>
                <w:sz w:val="24"/>
                <w:szCs w:val="24"/>
              </w:rPr>
              <w:t>10.4.</w:t>
            </w:r>
            <w:r>
              <w:rPr>
                <w:rFonts w:asciiTheme="majorHAnsi" w:hAnsiTheme="majorHAnsi" w:cstheme="majorBidi"/>
                <w:sz w:val="24"/>
                <w:szCs w:val="24"/>
              </w:rPr>
              <w:t xml:space="preserve">     A MESTRA ou MESTRE, em decorrência da rescisão, terá o direito de receber o valor da Bolsa Cultura Viva proporcional aos dias trabalhados no mês do distrato.</w:t>
            </w:r>
          </w:p>
          <w:p w14:paraId="77FECA86" w14:textId="77777777" w:rsidR="0006598E" w:rsidRDefault="00000000">
            <w:pPr>
              <w:spacing w:line="240" w:lineRule="auto"/>
              <w:jc w:val="both"/>
              <w:rPr>
                <w:rFonts w:ascii="Calibri" w:hAnsi="Calibri"/>
                <w:sz w:val="24"/>
                <w:szCs w:val="24"/>
              </w:rPr>
            </w:pPr>
            <w:r>
              <w:rPr>
                <w:rFonts w:asciiTheme="majorHAnsi" w:hAnsiTheme="majorHAnsi" w:cstheme="majorBidi"/>
                <w:b/>
                <w:bCs/>
                <w:sz w:val="24"/>
                <w:szCs w:val="24"/>
              </w:rPr>
              <w:t>10.5.</w:t>
            </w:r>
            <w:r>
              <w:rPr>
                <w:rFonts w:asciiTheme="majorHAnsi" w:hAnsiTheme="majorHAnsi" w:cstheme="majorBidi"/>
                <w:sz w:val="24"/>
                <w:szCs w:val="24"/>
              </w:rPr>
              <w:t xml:space="preserve">    Havendo rescisão, a MESTRA ou MESTRE fica responsável por prestar contas de tudo o que fora executado até a data da rescisão.</w:t>
            </w:r>
          </w:p>
          <w:p w14:paraId="04AC7FBA" w14:textId="77777777" w:rsidR="0006598E" w:rsidRDefault="00000000">
            <w:pPr>
              <w:spacing w:line="240" w:lineRule="auto"/>
              <w:jc w:val="both"/>
              <w:rPr>
                <w:rFonts w:ascii="Calibri" w:hAnsi="Calibri"/>
                <w:sz w:val="24"/>
                <w:szCs w:val="24"/>
              </w:rPr>
            </w:pPr>
            <w:r>
              <w:rPr>
                <w:rFonts w:asciiTheme="majorHAnsi" w:hAnsiTheme="majorHAnsi" w:cstheme="majorBidi"/>
                <w:b/>
                <w:bCs/>
                <w:sz w:val="24"/>
                <w:szCs w:val="24"/>
              </w:rPr>
              <w:lastRenderedPageBreak/>
              <w:t>10.6</w:t>
            </w:r>
            <w:r>
              <w:rPr>
                <w:rFonts w:asciiTheme="majorHAnsi" w:hAnsiTheme="majorHAnsi" w:cstheme="majorBidi"/>
                <w:sz w:val="24"/>
                <w:szCs w:val="24"/>
              </w:rPr>
              <w:t>. Na hipótese de irregularidade na execução do objeto que enseje danos ao erário, deverá ser instaurada Tomada de Contas Especial caso os valores relacionados à irregularidade não sejam devolvidos no prazo estabelecido pela Administração Pública.</w:t>
            </w:r>
          </w:p>
          <w:p w14:paraId="68ACBE96" w14:textId="77777777" w:rsidR="0006598E" w:rsidRDefault="00000000">
            <w:pPr>
              <w:spacing w:line="240" w:lineRule="auto"/>
              <w:jc w:val="both"/>
              <w:rPr>
                <w:rFonts w:ascii="Calibri" w:hAnsi="Calibri"/>
                <w:color w:val="000000"/>
                <w:sz w:val="24"/>
                <w:szCs w:val="24"/>
              </w:rPr>
            </w:pPr>
            <w:r>
              <w:rPr>
                <w:rFonts w:asciiTheme="majorHAnsi" w:hAnsiTheme="majorHAnsi" w:cstheme="majorBidi"/>
                <w:b/>
                <w:bCs/>
                <w:sz w:val="24"/>
                <w:szCs w:val="24"/>
              </w:rPr>
              <w:t>10.7.</w:t>
            </w:r>
            <w:r>
              <w:rPr>
                <w:rFonts w:asciiTheme="majorHAnsi" w:hAnsiTheme="majorHAnsi" w:cstheme="majorBidi"/>
                <w:sz w:val="24"/>
                <w:szCs w:val="24"/>
              </w:rPr>
              <w:t xml:space="preserve"> </w:t>
            </w:r>
            <w:r>
              <w:rPr>
                <w:rFonts w:asciiTheme="majorHAnsi" w:hAnsiTheme="majorHAnsi" w:cstheme="majorBidi"/>
                <w:color w:val="000000" w:themeColor="text1"/>
                <w:sz w:val="24"/>
                <w:szCs w:val="24"/>
              </w:rPr>
              <w:t>O presente Termo de Concessão de Bolsa Cultura Viva poderá ser extinto:</w:t>
            </w:r>
          </w:p>
          <w:p w14:paraId="46186D4A" w14:textId="77777777" w:rsidR="0006598E" w:rsidRDefault="00000000">
            <w:pPr>
              <w:spacing w:line="240" w:lineRule="auto"/>
              <w:jc w:val="both"/>
              <w:rPr>
                <w:rFonts w:ascii="Calibri" w:eastAsia="Times New Roman" w:hAnsi="Calibri"/>
                <w:color w:val="000000"/>
                <w:sz w:val="24"/>
                <w:szCs w:val="24"/>
              </w:rPr>
            </w:pPr>
            <w:r>
              <w:rPr>
                <w:rFonts w:asciiTheme="majorHAnsi" w:hAnsiTheme="majorHAnsi" w:cstheme="majorBidi"/>
                <w:color w:val="000000" w:themeColor="text1"/>
                <w:sz w:val="24"/>
                <w:szCs w:val="24"/>
              </w:rPr>
              <w:t>a) por decurso de prazo;</w:t>
            </w:r>
          </w:p>
          <w:p w14:paraId="32257FD5" w14:textId="77777777" w:rsidR="0006598E" w:rsidRDefault="00000000">
            <w:pPr>
              <w:spacing w:line="240" w:lineRule="auto"/>
              <w:jc w:val="both"/>
              <w:rPr>
                <w:rFonts w:ascii="Calibri" w:hAnsi="Calibri"/>
                <w:color w:val="000000"/>
                <w:sz w:val="24"/>
                <w:szCs w:val="24"/>
              </w:rPr>
            </w:pPr>
            <w:r>
              <w:rPr>
                <w:rFonts w:asciiTheme="majorHAnsi" w:hAnsiTheme="majorHAnsi" w:cstheme="majorBidi"/>
                <w:color w:val="000000" w:themeColor="text1"/>
                <w:sz w:val="24"/>
                <w:szCs w:val="24"/>
              </w:rPr>
              <w:t>b) de comum acordo antes do prazo avençado ou, se for o caso, mediante Termo de Distrato;</w:t>
            </w:r>
          </w:p>
          <w:p w14:paraId="63A5E0F3" w14:textId="77777777" w:rsidR="0006598E" w:rsidRDefault="00000000">
            <w:pPr>
              <w:spacing w:line="240" w:lineRule="auto"/>
              <w:jc w:val="both"/>
              <w:textAlignment w:val="top"/>
              <w:outlineLvl w:val="0"/>
              <w:rPr>
                <w:b/>
                <w:bCs/>
              </w:rPr>
            </w:pPr>
            <w:r>
              <w:rPr>
                <w:rFonts w:asciiTheme="majorHAnsi" w:hAnsiTheme="majorHAnsi" w:cstheme="majorBidi"/>
                <w:b/>
                <w:bCs/>
                <w:color w:val="000000" w:themeColor="text1"/>
                <w:sz w:val="24"/>
                <w:szCs w:val="24"/>
              </w:rPr>
              <w:t>10.8.</w:t>
            </w:r>
            <w:r>
              <w:rPr>
                <w:rFonts w:asciiTheme="majorHAnsi" w:hAnsiTheme="majorHAnsi" w:cstheme="majorBidi"/>
                <w:color w:val="000000" w:themeColor="text1"/>
                <w:sz w:val="24"/>
                <w:szCs w:val="24"/>
              </w:rPr>
              <w:t xml:space="preserve">    O presente Termo de Concessão de Bolsa Cultura Viva poderá ser denunciado por decisão unilateral de qualquer dos partícipes, independentemente de autorização judicial, mediante prévia notificação por escrito ao outro partícipe.</w:t>
            </w:r>
          </w:p>
          <w:p w14:paraId="6DB3AA8F" w14:textId="77777777" w:rsidR="0006598E" w:rsidRDefault="00000000">
            <w:pPr>
              <w:spacing w:line="240" w:lineRule="auto"/>
              <w:jc w:val="both"/>
              <w:textAlignment w:val="top"/>
              <w:outlineLvl w:val="0"/>
              <w:rPr>
                <w:rFonts w:ascii="Calibri" w:hAnsi="Calibri"/>
                <w:color w:val="000000"/>
                <w:sz w:val="24"/>
                <w:szCs w:val="24"/>
              </w:rPr>
            </w:pPr>
            <w:r>
              <w:rPr>
                <w:rFonts w:asciiTheme="majorHAnsi" w:hAnsiTheme="majorHAnsi" w:cstheme="majorBidi"/>
                <w:b/>
                <w:bCs/>
                <w:color w:val="000000" w:themeColor="text1"/>
                <w:sz w:val="24"/>
                <w:szCs w:val="24"/>
              </w:rPr>
              <w:t>10.9</w:t>
            </w:r>
            <w:r>
              <w:rPr>
                <w:rFonts w:asciiTheme="majorHAnsi" w:hAnsiTheme="majorHAnsi" w:cstheme="majorBidi"/>
                <w:color w:val="000000" w:themeColor="text1"/>
                <w:sz w:val="24"/>
                <w:szCs w:val="24"/>
              </w:rPr>
              <w:t>. Outras situações relativas à rescisão ou extinção deste Termo não previstas na legislação aplicável ou neste instrumento poderão ser negociadas entre as partes ou, se for o caso, no Termo de Distrato.</w:t>
            </w:r>
          </w:p>
        </w:tc>
      </w:tr>
    </w:tbl>
    <w:p w14:paraId="2C142107"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13CDB6ED" w14:textId="77777777">
        <w:tc>
          <w:tcPr>
            <w:tcW w:w="9019" w:type="dxa"/>
            <w:shd w:val="clear" w:color="auto" w:fill="D9D9D9" w:themeFill="background1" w:themeFillShade="D9"/>
          </w:tcPr>
          <w:p w14:paraId="1B43D1A0" w14:textId="77777777" w:rsidR="0006598E" w:rsidRDefault="00000000">
            <w:pPr>
              <w:spacing w:before="120" w:after="120" w:line="240" w:lineRule="auto"/>
              <w:jc w:val="both"/>
              <w:rPr>
                <w:rFonts w:ascii="Calibri" w:hAnsi="Calibri" w:cs="Calibri"/>
                <w:b/>
                <w:sz w:val="24"/>
                <w:szCs w:val="24"/>
              </w:rPr>
            </w:pPr>
            <w:r>
              <w:rPr>
                <w:rFonts w:ascii="Calibri" w:hAnsi="Calibri" w:cs="Calibri"/>
                <w:b/>
                <w:bCs/>
                <w:sz w:val="24"/>
                <w:szCs w:val="24"/>
              </w:rPr>
              <w:t>11.          DO DESCUMPRIMENTO DO ENCARGO</w:t>
            </w:r>
          </w:p>
        </w:tc>
      </w:tr>
      <w:tr w:rsidR="0006598E" w14:paraId="38A8B6F9" w14:textId="77777777">
        <w:trPr>
          <w:trHeight w:val="3735"/>
        </w:trPr>
        <w:tc>
          <w:tcPr>
            <w:tcW w:w="9019" w:type="dxa"/>
          </w:tcPr>
          <w:p w14:paraId="55EF66BB" w14:textId="77777777" w:rsidR="0006598E" w:rsidRDefault="00000000">
            <w:pPr>
              <w:spacing w:before="120" w:after="120" w:line="240" w:lineRule="auto"/>
              <w:jc w:val="both"/>
              <w:rPr>
                <w:rFonts w:ascii="Calibri" w:hAnsi="Calibri" w:cs="Calibri"/>
                <w:bCs/>
                <w:sz w:val="24"/>
                <w:szCs w:val="24"/>
              </w:rPr>
            </w:pPr>
            <w:r>
              <w:rPr>
                <w:rFonts w:ascii="Calibri" w:hAnsi="Calibri" w:cs="Calibri"/>
                <w:b/>
                <w:sz w:val="24"/>
                <w:szCs w:val="24"/>
              </w:rPr>
              <w:t>11.1.</w:t>
            </w:r>
            <w:r>
              <w:rPr>
                <w:rFonts w:ascii="Calibri" w:hAnsi="Calibri" w:cs="Calibri"/>
                <w:bCs/>
                <w:sz w:val="24"/>
                <w:szCs w:val="24"/>
              </w:rPr>
              <w:t xml:space="preserve">     O não cumprimento do encargo poderá resultar em:</w:t>
            </w:r>
          </w:p>
          <w:p w14:paraId="5C44FC75" w14:textId="77777777" w:rsidR="0006598E" w:rsidRDefault="00000000">
            <w:pPr>
              <w:spacing w:before="120" w:after="120" w:line="240" w:lineRule="auto"/>
              <w:jc w:val="both"/>
              <w:rPr>
                <w:rFonts w:ascii="Calibri" w:hAnsi="Calibri" w:cs="Calibri"/>
                <w:bCs/>
                <w:sz w:val="24"/>
                <w:szCs w:val="24"/>
              </w:rPr>
            </w:pPr>
            <w:r>
              <w:rPr>
                <w:rFonts w:ascii="Calibri" w:hAnsi="Calibri" w:cs="Calibri"/>
                <w:bCs/>
                <w:sz w:val="24"/>
                <w:szCs w:val="24"/>
              </w:rPr>
              <w:t>a) pagamento de multa;</w:t>
            </w:r>
          </w:p>
          <w:p w14:paraId="5D95FD41" w14:textId="77777777" w:rsidR="0006598E" w:rsidRDefault="00000000">
            <w:pPr>
              <w:spacing w:before="120" w:after="120" w:line="240" w:lineRule="auto"/>
              <w:jc w:val="both"/>
              <w:rPr>
                <w:rFonts w:ascii="Calibri" w:hAnsi="Calibri" w:cs="Calibri"/>
                <w:bCs/>
                <w:sz w:val="24"/>
                <w:szCs w:val="24"/>
              </w:rPr>
            </w:pPr>
            <w:r>
              <w:rPr>
                <w:rFonts w:ascii="Calibri" w:hAnsi="Calibri" w:cs="Calibri"/>
                <w:bCs/>
                <w:sz w:val="24"/>
                <w:szCs w:val="24"/>
              </w:rPr>
              <w:t>b) suspensão da possibilidade de celebrar novo instrumento do regime próprio de fomento à cultura pelo prazo de 180 cento e oitenta) a 540 (quinhentos e quarenta) dias.</w:t>
            </w:r>
          </w:p>
          <w:p w14:paraId="5E217DE7" w14:textId="77777777" w:rsidR="0006598E" w:rsidRDefault="00000000">
            <w:pPr>
              <w:spacing w:before="120" w:after="120" w:line="240" w:lineRule="auto"/>
              <w:jc w:val="both"/>
              <w:rPr>
                <w:rFonts w:ascii="Calibri" w:hAnsi="Calibri" w:cs="Calibri"/>
                <w:bCs/>
                <w:sz w:val="24"/>
                <w:szCs w:val="24"/>
              </w:rPr>
            </w:pPr>
            <w:r>
              <w:rPr>
                <w:rFonts w:ascii="Calibri" w:hAnsi="Calibri" w:cs="Calibri"/>
                <w:b/>
                <w:sz w:val="24"/>
                <w:szCs w:val="24"/>
              </w:rPr>
              <w:t>11.2.</w:t>
            </w:r>
            <w:r>
              <w:rPr>
                <w:rFonts w:ascii="Calibri" w:hAnsi="Calibri" w:cs="Calibri"/>
                <w:bCs/>
                <w:sz w:val="24"/>
                <w:szCs w:val="24"/>
              </w:rPr>
              <w:t xml:space="preserve">     O pagamento da multa e a suspensão poderão ser convertidos em obrigação de executar plano de ações compensatórias.</w:t>
            </w:r>
          </w:p>
          <w:p w14:paraId="45E7F836" w14:textId="77777777" w:rsidR="0006598E" w:rsidRDefault="00000000">
            <w:pPr>
              <w:spacing w:before="120" w:after="120" w:line="240" w:lineRule="auto"/>
              <w:jc w:val="both"/>
              <w:rPr>
                <w:rFonts w:ascii="Calibri" w:hAnsi="Calibri" w:cs="Calibri"/>
                <w:bCs/>
                <w:sz w:val="24"/>
                <w:szCs w:val="24"/>
              </w:rPr>
            </w:pPr>
            <w:r>
              <w:rPr>
                <w:rFonts w:ascii="Calibri" w:hAnsi="Calibri" w:cs="Calibri"/>
                <w:b/>
                <w:sz w:val="24"/>
                <w:szCs w:val="24"/>
              </w:rPr>
              <w:t>11.3.</w:t>
            </w:r>
            <w:r>
              <w:rPr>
                <w:rFonts w:ascii="Calibri" w:hAnsi="Calibri" w:cs="Calibri"/>
                <w:bCs/>
                <w:sz w:val="24"/>
                <w:szCs w:val="24"/>
              </w:rPr>
              <w:t xml:space="preserve">     A decisão sobre o descumprimento deve ser precedida de abertura de prazo de 10 (dez) dias para apresentação de defesa pela MESTRA ou MESTRE.</w:t>
            </w:r>
          </w:p>
          <w:p w14:paraId="6F29FBAB" w14:textId="77777777" w:rsidR="0006598E" w:rsidRDefault="00000000">
            <w:pPr>
              <w:spacing w:before="120" w:after="120" w:line="240" w:lineRule="auto"/>
              <w:jc w:val="both"/>
              <w:rPr>
                <w:rFonts w:ascii="Calibri" w:hAnsi="Calibri" w:cs="Calibri"/>
                <w:sz w:val="24"/>
                <w:szCs w:val="24"/>
              </w:rPr>
            </w:pPr>
            <w:r>
              <w:rPr>
                <w:rFonts w:ascii="Calibri" w:hAnsi="Calibri" w:cs="Calibri"/>
                <w:b/>
                <w:bCs/>
                <w:sz w:val="24"/>
                <w:szCs w:val="24"/>
              </w:rPr>
              <w:t>11.4.</w:t>
            </w:r>
            <w:r>
              <w:rPr>
                <w:rFonts w:ascii="Calibri" w:hAnsi="Calibri" w:cs="Calibri"/>
                <w:sz w:val="24"/>
                <w:szCs w:val="24"/>
              </w:rPr>
              <w:t xml:space="preserve">  A ocorrência de caso fortuito ou força maior impeditiva da execução do instrumento afasta a aplicação de sanção, desde que regularmente comprovada.</w:t>
            </w:r>
          </w:p>
        </w:tc>
      </w:tr>
    </w:tbl>
    <w:p w14:paraId="3B803F01" w14:textId="77777777" w:rsidR="0006598E" w:rsidRDefault="0006598E">
      <w:pPr>
        <w:spacing w:before="120" w:after="120" w:line="240" w:lineRule="auto"/>
        <w:jc w:val="both"/>
        <w:rPr>
          <w:b/>
          <w:bCs/>
        </w:rPr>
      </w:pPr>
    </w:p>
    <w:p w14:paraId="41FDED51" w14:textId="77777777" w:rsidR="0006598E" w:rsidRDefault="0006598E">
      <w:pPr>
        <w:spacing w:before="120" w:after="120" w:line="240" w:lineRule="auto"/>
        <w:jc w:val="both"/>
        <w:rPr>
          <w:b/>
          <w:bCs/>
        </w:rPr>
      </w:pPr>
    </w:p>
    <w:tbl>
      <w:tblPr>
        <w:tblStyle w:val="Tabelacomgrade"/>
        <w:tblW w:w="9019" w:type="dxa"/>
        <w:tblLayout w:type="fixed"/>
        <w:tblLook w:val="04A0" w:firstRow="1" w:lastRow="0" w:firstColumn="1" w:lastColumn="0" w:noHBand="0" w:noVBand="1"/>
      </w:tblPr>
      <w:tblGrid>
        <w:gridCol w:w="9019"/>
      </w:tblGrid>
      <w:tr w:rsidR="0006598E" w14:paraId="45D72BF1" w14:textId="77777777">
        <w:tc>
          <w:tcPr>
            <w:tcW w:w="9019" w:type="dxa"/>
            <w:shd w:val="clear" w:color="auto" w:fill="D9D9D9" w:themeFill="background1" w:themeFillShade="D9"/>
          </w:tcPr>
          <w:p w14:paraId="4586221A" w14:textId="77777777" w:rsidR="0006598E" w:rsidRDefault="00000000">
            <w:pPr>
              <w:spacing w:before="120" w:after="120" w:line="240" w:lineRule="auto"/>
              <w:jc w:val="both"/>
              <w:rPr>
                <w:rFonts w:ascii="Calibri" w:hAnsi="Calibri" w:cs="Calibri"/>
                <w:b/>
                <w:sz w:val="24"/>
                <w:szCs w:val="24"/>
              </w:rPr>
            </w:pPr>
            <w:r>
              <w:rPr>
                <w:rFonts w:asciiTheme="majorHAnsi" w:hAnsiTheme="majorHAnsi" w:cstheme="majorHAnsi"/>
                <w:b/>
                <w:bCs/>
                <w:sz w:val="24"/>
                <w:szCs w:val="24"/>
              </w:rPr>
              <w:t>12.          DA PUBLICAÇÃO</w:t>
            </w:r>
          </w:p>
        </w:tc>
      </w:tr>
      <w:tr w:rsidR="0006598E" w14:paraId="3786C484" w14:textId="77777777">
        <w:tc>
          <w:tcPr>
            <w:tcW w:w="9019" w:type="dxa"/>
          </w:tcPr>
          <w:p w14:paraId="6ABD96FD" w14:textId="77777777" w:rsidR="0006598E" w:rsidRDefault="00000000">
            <w:pPr>
              <w:spacing w:before="120" w:after="120" w:line="240" w:lineRule="auto"/>
              <w:ind w:left="120" w:right="120"/>
              <w:jc w:val="both"/>
              <w:rPr>
                <w:rFonts w:ascii="Calibri" w:eastAsia="Calibri" w:hAnsi="Calibri" w:cs="Calibri"/>
                <w:color w:val="FF0000"/>
                <w:sz w:val="24"/>
                <w:szCs w:val="24"/>
              </w:rPr>
            </w:pPr>
            <w:r>
              <w:rPr>
                <w:rFonts w:asciiTheme="majorHAnsi" w:hAnsiTheme="majorHAnsi" w:cstheme="majorHAnsi"/>
                <w:bCs/>
                <w:sz w:val="24"/>
                <w:szCs w:val="24"/>
              </w:rPr>
              <w:t>O extrato do Termo de Concessão de Bolsa Cultura Viva será publicado no</w:t>
            </w:r>
            <w:r>
              <w:rPr>
                <w:rFonts w:ascii="Calibri" w:eastAsia="Calibri" w:hAnsi="Calibri" w:cs="Calibri"/>
                <w:color w:val="000000"/>
                <w:sz w:val="24"/>
                <w:szCs w:val="24"/>
              </w:rPr>
              <w:t xml:space="preserve"> diário oficial do Município - DOM e no site oficial da Prefeitura de Goiânia, </w:t>
            </w:r>
            <w:r>
              <w:rPr>
                <w:rFonts w:ascii="Calibri" w:eastAsia="Calibri" w:hAnsi="Calibri" w:cs="Calibri"/>
              </w:rPr>
              <w:t>http//www.goiania.go.gov.br,</w:t>
            </w:r>
            <w:r>
              <w:rPr>
                <w:rFonts w:ascii="Calibri" w:eastAsia="Calibri" w:hAnsi="Calibri" w:cs="Calibri"/>
                <w:color w:val="000000"/>
                <w:sz w:val="24"/>
                <w:szCs w:val="24"/>
              </w:rPr>
              <w:t xml:space="preserve"> na página oficial da Secretaria Municipal de Cultura.</w:t>
            </w:r>
            <w:r>
              <w:rPr>
                <w:rFonts w:ascii="Calibri" w:eastAsia="Calibri" w:hAnsi="Calibri" w:cs="Calibri"/>
                <w:sz w:val="24"/>
                <w:szCs w:val="24"/>
              </w:rPr>
              <w:t xml:space="preserve"> </w:t>
            </w:r>
          </w:p>
          <w:p w14:paraId="06564AF8" w14:textId="77777777" w:rsidR="0006598E" w:rsidRDefault="0006598E">
            <w:pPr>
              <w:spacing w:before="120" w:after="120" w:line="240" w:lineRule="auto"/>
              <w:jc w:val="both"/>
              <w:rPr>
                <w:rFonts w:ascii="Calibri" w:hAnsi="Calibri" w:cs="Calibri"/>
                <w:bCs/>
                <w:sz w:val="24"/>
                <w:szCs w:val="24"/>
              </w:rPr>
            </w:pPr>
          </w:p>
        </w:tc>
      </w:tr>
    </w:tbl>
    <w:p w14:paraId="482DCD2D"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9019"/>
      </w:tblGrid>
      <w:tr w:rsidR="0006598E" w14:paraId="487BB6D6" w14:textId="77777777">
        <w:tc>
          <w:tcPr>
            <w:tcW w:w="9019" w:type="dxa"/>
            <w:shd w:val="clear" w:color="auto" w:fill="D9D9D9" w:themeFill="background1" w:themeFillShade="D9"/>
          </w:tcPr>
          <w:p w14:paraId="20250D4B" w14:textId="77777777" w:rsidR="0006598E" w:rsidRDefault="00000000">
            <w:pPr>
              <w:spacing w:before="120" w:after="120" w:line="240" w:lineRule="auto"/>
              <w:jc w:val="both"/>
              <w:rPr>
                <w:b/>
              </w:rPr>
            </w:pPr>
            <w:r>
              <w:rPr>
                <w:rFonts w:ascii="Calibri" w:hAnsi="Calibri" w:cs="Calibri"/>
                <w:b/>
                <w:bCs/>
                <w:sz w:val="24"/>
                <w:szCs w:val="24"/>
              </w:rPr>
              <w:t>13.          DO FORO</w:t>
            </w:r>
          </w:p>
        </w:tc>
      </w:tr>
      <w:tr w:rsidR="0006598E" w14:paraId="2B63C6FF" w14:textId="77777777">
        <w:tc>
          <w:tcPr>
            <w:tcW w:w="9019" w:type="dxa"/>
          </w:tcPr>
          <w:p w14:paraId="4D21F93F" w14:textId="77777777" w:rsidR="0006598E" w:rsidRDefault="00000000">
            <w:pPr>
              <w:spacing w:before="120" w:after="120" w:line="240" w:lineRule="auto"/>
              <w:jc w:val="both"/>
              <w:rPr>
                <w:b/>
              </w:rPr>
            </w:pPr>
            <w:r>
              <w:rPr>
                <w:rFonts w:asciiTheme="majorHAnsi" w:hAnsiTheme="majorHAnsi" w:cstheme="majorHAnsi"/>
                <w:sz w:val="24"/>
                <w:szCs w:val="24"/>
              </w:rPr>
              <w:lastRenderedPageBreak/>
              <w:t xml:space="preserve">Os partícipes comprometem-se a submeter eventuais controvérsias decorrentes do presente ajuste à prévia tentativa de solução administrativa. As controvérsias que não possam ser resolvidas administrativamente serão submetidas ao foro do Município de Goiânia. </w:t>
            </w:r>
          </w:p>
        </w:tc>
      </w:tr>
    </w:tbl>
    <w:p w14:paraId="2DD5E7B3" w14:textId="77777777" w:rsidR="0006598E" w:rsidRDefault="0006598E">
      <w:pPr>
        <w:spacing w:before="120" w:after="120" w:line="240" w:lineRule="auto"/>
        <w:jc w:val="both"/>
        <w:rPr>
          <w:b/>
        </w:rPr>
      </w:pPr>
    </w:p>
    <w:tbl>
      <w:tblPr>
        <w:tblStyle w:val="Tabelacomgrade"/>
        <w:tblW w:w="9019" w:type="dxa"/>
        <w:tblLayout w:type="fixed"/>
        <w:tblLook w:val="04A0" w:firstRow="1" w:lastRow="0" w:firstColumn="1" w:lastColumn="0" w:noHBand="0" w:noVBand="1"/>
      </w:tblPr>
      <w:tblGrid>
        <w:gridCol w:w="4509"/>
        <w:gridCol w:w="4510"/>
      </w:tblGrid>
      <w:tr w:rsidR="0006598E" w14:paraId="1B21ADE7" w14:textId="77777777">
        <w:tc>
          <w:tcPr>
            <w:tcW w:w="9018" w:type="dxa"/>
            <w:gridSpan w:val="2"/>
            <w:shd w:val="clear" w:color="auto" w:fill="D9D9D9" w:themeFill="background1" w:themeFillShade="D9"/>
          </w:tcPr>
          <w:p w14:paraId="02268750" w14:textId="77777777" w:rsidR="0006598E" w:rsidRDefault="00000000">
            <w:pPr>
              <w:spacing w:before="120" w:after="120" w:line="240" w:lineRule="auto"/>
              <w:jc w:val="both"/>
              <w:rPr>
                <w:b/>
              </w:rPr>
            </w:pPr>
            <w:r>
              <w:rPr>
                <w:rFonts w:ascii="Calibri" w:hAnsi="Calibri" w:cs="Calibri"/>
                <w:b/>
                <w:bCs/>
                <w:sz w:val="24"/>
                <w:szCs w:val="24"/>
              </w:rPr>
              <w:t>14.          DATA E ASSINATURAS</w:t>
            </w:r>
          </w:p>
        </w:tc>
      </w:tr>
      <w:tr w:rsidR="0006598E" w14:paraId="42AC7D21" w14:textId="77777777">
        <w:tc>
          <w:tcPr>
            <w:tcW w:w="9018" w:type="dxa"/>
            <w:gridSpan w:val="2"/>
          </w:tcPr>
          <w:p w14:paraId="76194657" w14:textId="77777777" w:rsidR="0006598E" w:rsidRDefault="00000000">
            <w:pPr>
              <w:spacing w:before="120" w:after="120" w:line="240" w:lineRule="auto"/>
              <w:jc w:val="both"/>
              <w:rPr>
                <w:b/>
              </w:rPr>
            </w:pPr>
            <w:r>
              <w:rPr>
                <w:rFonts w:asciiTheme="majorHAnsi" w:hAnsiTheme="majorHAnsi" w:cstheme="majorHAnsi"/>
                <w:sz w:val="24"/>
                <w:szCs w:val="24"/>
              </w:rPr>
              <w:t>E, por assim estarem plenamente de acordo, os partícipes obrigam-se ao total cumprimento dos termos do presente instrumento, o qual lido e achado conforme, foi assinado nesta data pelos partícipes em duas vias iguais, para que produza seus jurídicos e legais efeitos, em Juízo ou fora dele.</w:t>
            </w:r>
          </w:p>
        </w:tc>
      </w:tr>
      <w:tr w:rsidR="0006598E" w14:paraId="07B08F62" w14:textId="77777777">
        <w:tc>
          <w:tcPr>
            <w:tcW w:w="9018" w:type="dxa"/>
            <w:gridSpan w:val="2"/>
          </w:tcPr>
          <w:p w14:paraId="6E4928D6" w14:textId="77777777" w:rsidR="0006598E" w:rsidRDefault="00000000">
            <w:pPr>
              <w:spacing w:before="120" w:after="120" w:line="240" w:lineRule="auto"/>
              <w:jc w:val="right"/>
              <w:rPr>
                <w:b/>
              </w:rPr>
            </w:pPr>
            <w:r>
              <w:rPr>
                <w:rFonts w:asciiTheme="majorHAnsi" w:hAnsiTheme="majorHAnsi" w:cstheme="majorHAnsi"/>
                <w:color w:val="000000"/>
              </w:rPr>
              <w:t>(Local e data) ____________________</w:t>
            </w:r>
            <w:proofErr w:type="gramStart"/>
            <w:r>
              <w:rPr>
                <w:rFonts w:asciiTheme="majorHAnsi" w:hAnsiTheme="majorHAnsi" w:cstheme="majorHAnsi"/>
                <w:color w:val="000000"/>
              </w:rPr>
              <w:t>_,_</w:t>
            </w:r>
            <w:proofErr w:type="gramEnd"/>
            <w:r>
              <w:rPr>
                <w:rFonts w:asciiTheme="majorHAnsi" w:hAnsiTheme="majorHAnsi" w:cstheme="majorHAnsi"/>
                <w:color w:val="000000"/>
              </w:rPr>
              <w:t>_______/_______/ _______.</w:t>
            </w:r>
          </w:p>
        </w:tc>
      </w:tr>
      <w:tr w:rsidR="0006598E" w14:paraId="5475BE8F" w14:textId="77777777">
        <w:tc>
          <w:tcPr>
            <w:tcW w:w="4509" w:type="dxa"/>
          </w:tcPr>
          <w:p w14:paraId="1B795CF9" w14:textId="77777777" w:rsidR="0006598E" w:rsidRDefault="00000000">
            <w:pPr>
              <w:spacing w:line="240" w:lineRule="auto"/>
              <w:jc w:val="center"/>
              <w:rPr>
                <w:rFonts w:ascii="Calibri" w:hAnsi="Calibri"/>
                <w:color w:val="333333"/>
                <w:sz w:val="24"/>
                <w:szCs w:val="24"/>
              </w:rPr>
            </w:pPr>
            <w:r>
              <w:rPr>
                <w:rFonts w:asciiTheme="majorHAnsi" w:hAnsiTheme="majorHAnsi" w:cstheme="majorBidi"/>
                <w:color w:val="333333"/>
                <w:sz w:val="24"/>
                <w:szCs w:val="24"/>
              </w:rPr>
              <w:t>Assinatura (próprio punho, impressão digital ou eletrônica)</w:t>
            </w:r>
          </w:p>
          <w:p w14:paraId="19F0830B" w14:textId="77777777" w:rsidR="0006598E" w:rsidRDefault="00000000">
            <w:pPr>
              <w:spacing w:line="240" w:lineRule="auto"/>
              <w:jc w:val="center"/>
              <w:rPr>
                <w:rFonts w:ascii="Calibri" w:eastAsia="Times New Roman" w:hAnsi="Calibri" w:cs="Calibri"/>
                <w:color w:val="000000"/>
                <w:sz w:val="24"/>
                <w:szCs w:val="24"/>
              </w:rPr>
            </w:pPr>
            <w:r>
              <w:rPr>
                <w:rFonts w:asciiTheme="majorHAnsi" w:hAnsiTheme="majorHAnsi" w:cstheme="majorHAnsi"/>
                <w:color w:val="FF0000"/>
                <w:sz w:val="24"/>
                <w:szCs w:val="24"/>
              </w:rPr>
              <w:t>(Mestra ou Mestre)</w:t>
            </w:r>
          </w:p>
          <w:p w14:paraId="3ADFF485" w14:textId="77777777" w:rsidR="0006598E" w:rsidRDefault="00000000">
            <w:pPr>
              <w:spacing w:before="120" w:after="120" w:line="240" w:lineRule="auto"/>
              <w:jc w:val="center"/>
              <w:rPr>
                <w:b/>
              </w:rPr>
            </w:pPr>
            <w:r>
              <w:rPr>
                <w:rFonts w:asciiTheme="majorHAnsi" w:hAnsiTheme="majorHAnsi" w:cstheme="majorHAnsi"/>
                <w:color w:val="333333"/>
                <w:sz w:val="24"/>
                <w:szCs w:val="24"/>
              </w:rPr>
              <w:t>NOME COMPLETO</w:t>
            </w:r>
          </w:p>
        </w:tc>
        <w:tc>
          <w:tcPr>
            <w:tcW w:w="4509" w:type="dxa"/>
          </w:tcPr>
          <w:p w14:paraId="3CB45CA5" w14:textId="77777777" w:rsidR="0006598E" w:rsidRDefault="00000000">
            <w:pPr>
              <w:spacing w:line="240" w:lineRule="auto"/>
              <w:jc w:val="center"/>
              <w:rPr>
                <w:rFonts w:ascii="Calibri" w:eastAsia="Times New Roman" w:hAnsi="Calibri" w:cs="Calibri"/>
                <w:color w:val="000000"/>
                <w:sz w:val="24"/>
                <w:szCs w:val="24"/>
              </w:rPr>
            </w:pPr>
            <w:r>
              <w:rPr>
                <w:rFonts w:asciiTheme="majorHAnsi" w:hAnsiTheme="majorHAnsi" w:cstheme="majorHAnsi"/>
                <w:color w:val="333333"/>
                <w:sz w:val="24"/>
                <w:szCs w:val="24"/>
              </w:rPr>
              <w:t>Assinatura</w:t>
            </w:r>
          </w:p>
          <w:p w14:paraId="6E5306F9" w14:textId="77777777" w:rsidR="0006598E" w:rsidRDefault="00000000">
            <w:pPr>
              <w:spacing w:line="240" w:lineRule="auto"/>
              <w:jc w:val="center"/>
              <w:rPr>
                <w:rFonts w:ascii="Calibri" w:eastAsia="Times New Roman" w:hAnsi="Calibri" w:cs="Calibri"/>
                <w:color w:val="000000"/>
                <w:sz w:val="24"/>
                <w:szCs w:val="24"/>
              </w:rPr>
            </w:pPr>
            <w:proofErr w:type="spellStart"/>
            <w:r>
              <w:rPr>
                <w:rFonts w:asciiTheme="majorHAnsi" w:eastAsia="Times New Roman" w:hAnsiTheme="majorHAnsi" w:cstheme="majorHAnsi"/>
                <w:color w:val="000000"/>
                <w:sz w:val="24"/>
                <w:szCs w:val="24"/>
              </w:rPr>
              <w:t>Uugton</w:t>
            </w:r>
            <w:proofErr w:type="spellEnd"/>
            <w:r>
              <w:rPr>
                <w:rFonts w:asciiTheme="majorHAnsi" w:eastAsia="Times New Roman" w:hAnsiTheme="majorHAnsi" w:cstheme="majorHAnsi"/>
                <w:color w:val="000000"/>
                <w:sz w:val="24"/>
                <w:szCs w:val="24"/>
              </w:rPr>
              <w:t xml:space="preserve"> Batista da Silva</w:t>
            </w:r>
          </w:p>
          <w:p w14:paraId="023F60EB" w14:textId="77777777" w:rsidR="0006598E" w:rsidRDefault="00000000">
            <w:pPr>
              <w:spacing w:before="120" w:after="120" w:line="240" w:lineRule="auto"/>
              <w:jc w:val="center"/>
              <w:rPr>
                <w:b/>
              </w:rPr>
            </w:pPr>
            <w:r>
              <w:t>Secretário de Cultura</w:t>
            </w:r>
          </w:p>
        </w:tc>
      </w:tr>
    </w:tbl>
    <w:p w14:paraId="441C4DB7" w14:textId="77777777" w:rsidR="0006598E" w:rsidRDefault="0006598E">
      <w:pPr>
        <w:spacing w:before="120" w:after="120" w:line="240" w:lineRule="auto"/>
        <w:jc w:val="both"/>
        <w:rPr>
          <w:b/>
        </w:rPr>
      </w:pPr>
    </w:p>
    <w:p w14:paraId="0CDE4731" w14:textId="77777777" w:rsidR="0006598E" w:rsidRDefault="0006598E">
      <w:pPr>
        <w:spacing w:before="120" w:after="120" w:line="240" w:lineRule="auto"/>
        <w:jc w:val="center"/>
      </w:pPr>
    </w:p>
    <w:p w14:paraId="465DD0E2" w14:textId="77777777" w:rsidR="0006598E" w:rsidRDefault="0006598E">
      <w:pPr>
        <w:spacing w:after="100"/>
        <w:jc w:val="center"/>
      </w:pPr>
    </w:p>
    <w:p w14:paraId="18233CC7" w14:textId="77777777" w:rsidR="0006598E" w:rsidRDefault="0006598E"/>
    <w:sectPr w:rsidR="0006598E">
      <w:headerReference w:type="default" r:id="rId11"/>
      <w:footerReference w:type="default" r:id="rId12"/>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36BBA" w14:textId="77777777" w:rsidR="00382202" w:rsidRDefault="00382202">
      <w:pPr>
        <w:spacing w:line="240" w:lineRule="auto"/>
      </w:pPr>
      <w:r>
        <w:separator/>
      </w:r>
    </w:p>
  </w:endnote>
  <w:endnote w:type="continuationSeparator" w:id="0">
    <w:p w14:paraId="23984876" w14:textId="77777777" w:rsidR="00382202" w:rsidRDefault="003822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D296" w14:textId="77777777" w:rsidR="0006598E" w:rsidRDefault="00000000">
    <w:pPr>
      <w:pStyle w:val="Rodap"/>
      <w:rPr>
        <w:color w:val="FF0000"/>
        <w:sz w:val="20"/>
        <w:szCs w:val="20"/>
      </w:rPr>
    </w:pPr>
    <w:r>
      <w:rPr>
        <w:noProof/>
        <w:color w:val="FF0000"/>
        <w:sz w:val="20"/>
        <w:szCs w:val="20"/>
      </w:rPr>
      <w:drawing>
        <wp:anchor distT="0" distB="0" distL="0" distR="0" simplePos="0" relativeHeight="8" behindDoc="1" locked="0" layoutInCell="0" allowOverlap="1" wp14:anchorId="3BC2719C" wp14:editId="2D8D4B8F">
          <wp:simplePos x="0" y="0"/>
          <wp:positionH relativeFrom="column">
            <wp:posOffset>371475</wp:posOffset>
          </wp:positionH>
          <wp:positionV relativeFrom="paragraph">
            <wp:posOffset>76200</wp:posOffset>
          </wp:positionV>
          <wp:extent cx="3033395" cy="405130"/>
          <wp:effectExtent l="0" t="0" r="0" b="0"/>
          <wp:wrapNone/>
          <wp:docPr id="2" name="image1.png" descr="Uma imagem contend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Uma imagem contendo nome da empresa&#10;&#10;O conteúdo gerado por IA pode estar incorreto."/>
                  <pic:cNvPicPr>
                    <a:picLocks noChangeAspect="1" noChangeArrowheads="1"/>
                  </pic:cNvPicPr>
                </pic:nvPicPr>
                <pic:blipFill>
                  <a:blip r:embed="rId1"/>
                  <a:stretch>
                    <a:fillRect/>
                  </a:stretch>
                </pic:blipFill>
                <pic:spPr bwMode="auto">
                  <a:xfrm>
                    <a:off x="0" y="0"/>
                    <a:ext cx="3033395" cy="405130"/>
                  </a:xfrm>
                  <a:prstGeom prst="rect">
                    <a:avLst/>
                  </a:prstGeom>
                </pic:spPr>
              </pic:pic>
            </a:graphicData>
          </a:graphic>
        </wp:anchor>
      </w:drawing>
    </w:r>
    <w:r>
      <w:rPr>
        <w:noProof/>
        <w:color w:val="FF0000"/>
        <w:sz w:val="20"/>
        <w:szCs w:val="20"/>
      </w:rPr>
      <w:drawing>
        <wp:anchor distT="0" distB="0" distL="0" distR="0" simplePos="0" relativeHeight="15" behindDoc="1" locked="0" layoutInCell="0" allowOverlap="1" wp14:anchorId="20987748" wp14:editId="1424BFD4">
          <wp:simplePos x="0" y="0"/>
          <wp:positionH relativeFrom="column">
            <wp:posOffset>4246880</wp:posOffset>
          </wp:positionH>
          <wp:positionV relativeFrom="paragraph">
            <wp:posOffset>635</wp:posOffset>
          </wp:positionV>
          <wp:extent cx="882015" cy="739140"/>
          <wp:effectExtent l="0" t="0" r="0" b="0"/>
          <wp:wrapNone/>
          <wp:docPr id="3" name="image3.png"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Fundo preto com letras brancas&#10;&#10;O conteúdo gerado por IA pode estar incorreto."/>
                  <pic:cNvPicPr>
                    <a:picLocks noChangeAspect="1" noChangeArrowheads="1"/>
                  </pic:cNvPicPr>
                </pic:nvPicPr>
                <pic:blipFill>
                  <a:blip r:embed="rId2"/>
                  <a:srcRect l="64781" t="91476" r="20735"/>
                  <a:stretch>
                    <a:fillRect/>
                  </a:stretch>
                </pic:blipFill>
                <pic:spPr bwMode="auto">
                  <a:xfrm>
                    <a:off x="0" y="0"/>
                    <a:ext cx="882015" cy="739140"/>
                  </a:xfrm>
                  <a:prstGeom prst="rect">
                    <a:avLst/>
                  </a:prstGeom>
                </pic:spPr>
              </pic:pic>
            </a:graphicData>
          </a:graphic>
        </wp:anchor>
      </w:drawing>
    </w:r>
    <w:r>
      <w:rPr>
        <w:noProof/>
        <w:color w:val="FF0000"/>
        <w:sz w:val="20"/>
        <w:szCs w:val="20"/>
      </w:rPr>
      <w:drawing>
        <wp:anchor distT="0" distB="0" distL="0" distR="0" simplePos="0" relativeHeight="29" behindDoc="1" locked="0" layoutInCell="0" allowOverlap="1" wp14:anchorId="60DFE41B" wp14:editId="083ED394">
          <wp:simplePos x="0" y="0"/>
          <wp:positionH relativeFrom="column">
            <wp:posOffset>-723900</wp:posOffset>
          </wp:positionH>
          <wp:positionV relativeFrom="paragraph">
            <wp:posOffset>-57150</wp:posOffset>
          </wp:positionV>
          <wp:extent cx="1201420" cy="624205"/>
          <wp:effectExtent l="0" t="0" r="0" b="0"/>
          <wp:wrapNone/>
          <wp:docPr id="4"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pic:cNvPicPr>
                    <a:picLocks noChangeAspect="1" noChangeArrowheads="1"/>
                  </pic:cNvPicPr>
                </pic:nvPicPr>
                <pic:blipFill>
                  <a:blip r:embed="rId3"/>
                  <a:stretch>
                    <a:fillRect/>
                  </a:stretch>
                </pic:blipFill>
                <pic:spPr bwMode="auto">
                  <a:xfrm>
                    <a:off x="0" y="0"/>
                    <a:ext cx="1201420" cy="624205"/>
                  </a:xfrm>
                  <a:prstGeom prst="rect">
                    <a:avLst/>
                  </a:prstGeom>
                </pic:spPr>
              </pic:pic>
            </a:graphicData>
          </a:graphic>
        </wp:anchor>
      </w:drawing>
    </w:r>
    <w:r>
      <w:rPr>
        <w:noProof/>
        <w:color w:val="FF0000"/>
        <w:sz w:val="20"/>
        <w:szCs w:val="20"/>
      </w:rPr>
      <w:drawing>
        <wp:anchor distT="0" distB="0" distL="0" distR="0" simplePos="0" relativeHeight="36" behindDoc="1" locked="0" layoutInCell="0" allowOverlap="1" wp14:anchorId="6D477A3A" wp14:editId="6A28FC61">
          <wp:simplePos x="0" y="0"/>
          <wp:positionH relativeFrom="column">
            <wp:posOffset>3528695</wp:posOffset>
          </wp:positionH>
          <wp:positionV relativeFrom="paragraph">
            <wp:posOffset>76835</wp:posOffset>
          </wp:positionV>
          <wp:extent cx="723265" cy="509270"/>
          <wp:effectExtent l="0" t="0" r="0" b="0"/>
          <wp:wrapNone/>
          <wp:docPr id="5"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Logotipo&#10;&#10;O conteúdo gerado por IA pode estar incorreto."/>
                  <pic:cNvPicPr>
                    <a:picLocks noChangeAspect="1" noChangeArrowheads="1"/>
                  </pic:cNvPicPr>
                </pic:nvPicPr>
                <pic:blipFill>
                  <a:blip r:embed="rId4"/>
                  <a:stretch>
                    <a:fillRect/>
                  </a:stretch>
                </pic:blipFill>
                <pic:spPr bwMode="auto">
                  <a:xfrm>
                    <a:off x="0" y="0"/>
                    <a:ext cx="723265" cy="509270"/>
                  </a:xfrm>
                  <a:prstGeom prst="rect">
                    <a:avLst/>
                  </a:prstGeom>
                </pic:spPr>
              </pic:pic>
            </a:graphicData>
          </a:graphic>
        </wp:anchor>
      </w:drawing>
    </w:r>
    <w:r>
      <w:rPr>
        <w:noProof/>
        <w:color w:val="FF0000"/>
        <w:sz w:val="20"/>
        <w:szCs w:val="20"/>
      </w:rPr>
      <w:drawing>
        <wp:anchor distT="0" distB="0" distL="0" distR="0" simplePos="0" relativeHeight="43" behindDoc="1" locked="0" layoutInCell="0" allowOverlap="1" wp14:anchorId="4166F213" wp14:editId="25619EC4">
          <wp:simplePos x="0" y="0"/>
          <wp:positionH relativeFrom="column">
            <wp:posOffset>5105400</wp:posOffset>
          </wp:positionH>
          <wp:positionV relativeFrom="paragraph">
            <wp:posOffset>-66040</wp:posOffset>
          </wp:positionV>
          <wp:extent cx="1153160" cy="681990"/>
          <wp:effectExtent l="0" t="0" r="0" b="0"/>
          <wp:wrapNone/>
          <wp:docPr id="6"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Logotipo&#10;&#10;O conteúdo gerado por IA pode estar incorreto."/>
                  <pic:cNvPicPr>
                    <a:picLocks noChangeAspect="1" noChangeArrowheads="1"/>
                  </pic:cNvPicPr>
                </pic:nvPicPr>
                <pic:blipFill>
                  <a:blip r:embed="rId5"/>
                  <a:stretch>
                    <a:fillRect/>
                  </a:stretch>
                </pic:blipFill>
                <pic:spPr bwMode="auto">
                  <a:xfrm>
                    <a:off x="0" y="0"/>
                    <a:ext cx="1153160" cy="681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70AC" w14:textId="77777777" w:rsidR="00382202" w:rsidRDefault="00382202">
      <w:pPr>
        <w:spacing w:line="240" w:lineRule="auto"/>
      </w:pPr>
      <w:r>
        <w:separator/>
      </w:r>
    </w:p>
  </w:footnote>
  <w:footnote w:type="continuationSeparator" w:id="0">
    <w:p w14:paraId="31496378" w14:textId="77777777" w:rsidR="00382202" w:rsidRDefault="003822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2BA9" w14:textId="77777777" w:rsidR="0006598E" w:rsidRDefault="00000000">
    <w:pPr>
      <w:ind w:hanging="450"/>
    </w:pPr>
    <w:r>
      <w:rPr>
        <w:noProof/>
      </w:rPr>
      <w:drawing>
        <wp:inline distT="0" distB="0" distL="0" distR="0" wp14:anchorId="44ACEA63" wp14:editId="38A8B8B3">
          <wp:extent cx="1181100" cy="847725"/>
          <wp:effectExtent l="0" t="0" r="0" b="0"/>
          <wp:docPr id="1" name="Imagem 4471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4711279"/>
                  <pic:cNvPicPr>
                    <a:picLocks noChangeAspect="1" noChangeArrowheads="1"/>
                  </pic:cNvPicPr>
                </pic:nvPicPr>
                <pic:blipFill>
                  <a:blip r:embed="rId1"/>
                  <a:stretch>
                    <a:fillRect/>
                  </a:stretch>
                </pic:blipFill>
                <pic:spPr bwMode="auto">
                  <a:xfrm>
                    <a:off x="0" y="0"/>
                    <a:ext cx="118110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127"/>
    <w:multiLevelType w:val="multilevel"/>
    <w:tmpl w:val="6B32BE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0D6F93"/>
    <w:multiLevelType w:val="multilevel"/>
    <w:tmpl w:val="383A5E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0B116D9"/>
    <w:multiLevelType w:val="multilevel"/>
    <w:tmpl w:val="A99AEB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12252443">
    <w:abstractNumId w:val="2"/>
  </w:num>
  <w:num w:numId="2" w16cid:durableId="135876161">
    <w:abstractNumId w:val="1"/>
  </w:num>
  <w:num w:numId="3" w16cid:durableId="200700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8E"/>
    <w:rsid w:val="0006598E"/>
    <w:rsid w:val="00382202"/>
    <w:rsid w:val="0076394E"/>
    <w:rsid w:val="00BF078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0F1B"/>
  <w15:docId w15:val="{B40659B5-9657-4418-9757-03791ADE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5D553C"/>
    <w:rPr>
      <w:b/>
      <w:bCs/>
    </w:rPr>
  </w:style>
  <w:style w:type="character" w:customStyle="1" w:styleId="CabealhoChar">
    <w:name w:val="Cabeçalho Char"/>
    <w:basedOn w:val="Fontepargpadro"/>
    <w:link w:val="Cabealho"/>
    <w:uiPriority w:val="99"/>
    <w:qFormat/>
    <w:rsid w:val="000F0D0F"/>
  </w:style>
  <w:style w:type="character" w:customStyle="1" w:styleId="RodapChar">
    <w:name w:val="Rodapé Char"/>
    <w:basedOn w:val="Fontepargpadro"/>
    <w:link w:val="Rodap"/>
    <w:uiPriority w:val="99"/>
    <w:qFormat/>
    <w:rsid w:val="000F0D0F"/>
  </w:style>
  <w:style w:type="character" w:customStyle="1" w:styleId="normaltextrun">
    <w:name w:val="normaltextrun"/>
    <w:basedOn w:val="Fontepargpadro"/>
    <w:qFormat/>
    <w:rsid w:val="00DE2729"/>
  </w:style>
  <w:style w:type="character" w:customStyle="1" w:styleId="eop">
    <w:name w:val="eop"/>
    <w:basedOn w:val="Fontepargpadro"/>
    <w:qFormat/>
    <w:rsid w:val="00DE2729"/>
  </w:style>
  <w:style w:type="character" w:styleId="Hyperlink">
    <w:name w:val="Hyperlink"/>
    <w:basedOn w:val="Fontepargpadro"/>
    <w:uiPriority w:val="99"/>
    <w:unhideWhenUsed/>
    <w:rsid w:val="3CCC7D33"/>
    <w:rPr>
      <w:color w:val="0000FF"/>
      <w:u w:val="single"/>
    </w:rPr>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pPr>
      <w:spacing w:after="140"/>
    </w:pPr>
  </w:style>
  <w:style w:type="paragraph" w:styleId="Lista">
    <w:name w:val="List"/>
    <w:basedOn w:val="Corpodetexto"/>
  </w:style>
  <w:style w:type="paragraph" w:styleId="Legenda">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textocentralizado">
    <w:name w:val="texto_centralizado"/>
    <w:basedOn w:val="Normal"/>
    <w:qFormat/>
    <w:rsid w:val="005D553C"/>
    <w:pPr>
      <w:spacing w:beforeAutospacing="1" w:afterAutospacing="1" w:line="240" w:lineRule="auto"/>
    </w:pPr>
    <w:rPr>
      <w:rFonts w:ascii="Times New Roman" w:eastAsia="Times New Roman" w:hAnsi="Times New Roman" w:cs="Times New Roman"/>
      <w:sz w:val="24"/>
      <w:szCs w:val="24"/>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0F0D0F"/>
    <w:pPr>
      <w:tabs>
        <w:tab w:val="center" w:pos="4252"/>
        <w:tab w:val="right" w:pos="8504"/>
      </w:tabs>
      <w:spacing w:line="240" w:lineRule="auto"/>
    </w:pPr>
  </w:style>
  <w:style w:type="paragraph" w:styleId="Rodap">
    <w:name w:val="footer"/>
    <w:basedOn w:val="Normal"/>
    <w:link w:val="RodapChar"/>
    <w:uiPriority w:val="99"/>
    <w:unhideWhenUsed/>
    <w:rsid w:val="000F0D0F"/>
    <w:pPr>
      <w:tabs>
        <w:tab w:val="center" w:pos="4252"/>
        <w:tab w:val="right" w:pos="8504"/>
      </w:tabs>
      <w:spacing w:line="240" w:lineRule="auto"/>
    </w:pPr>
  </w:style>
  <w:style w:type="paragraph" w:customStyle="1" w:styleId="paragraph">
    <w:name w:val="paragraph"/>
    <w:basedOn w:val="Normal"/>
    <w:qFormat/>
    <w:rsid w:val="00DE2729"/>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styleId="Reviso">
    <w:name w:val="Revision"/>
    <w:uiPriority w:val="99"/>
    <w:semiHidden/>
    <w:qFormat/>
    <w:rsid w:val="00C90D02"/>
  </w:style>
  <w:style w:type="paragraph" w:styleId="PargrafodaLista">
    <w:name w:val="List Paragraph"/>
    <w:basedOn w:val="Normal"/>
    <w:qFormat/>
    <w:rsid w:val="00C90D02"/>
    <w:pPr>
      <w:ind w:left="720"/>
      <w:contextualSpacing/>
    </w:pPr>
  </w:style>
  <w:style w:type="table" w:customStyle="1" w:styleId="NormalTable0">
    <w:name w:val="Normal Table0"/>
    <w:tblPr>
      <w:tblCellMar>
        <w:top w:w="0" w:type="dxa"/>
        <w:left w:w="0" w:type="dxa"/>
        <w:bottom w:w="0" w:type="dxa"/>
        <w:right w:w="0"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5D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P1amoiDCG0ZGfeqsDoaFBlr3RA==">CgMxLjA4AHIhMTcxVl9wX0g0Q3BuODJ5dXotcjRGRl9GMTk5ZC1LZEt4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E04D8F-AB68-4DB6-BEA3-0872C454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66D28-5F03-4050-B4A9-8E330D9C79B3}">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4.xml><?xml version="1.0" encoding="utf-8"?>
<ds:datastoreItem xmlns:ds="http://schemas.openxmlformats.org/officeDocument/2006/customXml" ds:itemID="{93707502-5851-4D86-B126-1DE0B7574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2172</Words>
  <Characters>11729</Characters>
  <Application>Microsoft Office Word</Application>
  <DocSecurity>0</DocSecurity>
  <Lines>97</Lines>
  <Paragraphs>27</Paragraphs>
  <ScaleCrop>false</ScaleCrop>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Sandoval Eterno de Souza Lopes Eterno</cp:lastModifiedBy>
  <cp:revision>139</cp:revision>
  <dcterms:created xsi:type="dcterms:W3CDTF">2024-04-15T18:35:00Z</dcterms:created>
  <dcterms:modified xsi:type="dcterms:W3CDTF">2026-03-04T21:20:00Z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