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6"/>
        <w:gridCol w:w="1390"/>
        <w:gridCol w:w="1646"/>
        <w:gridCol w:w="919"/>
        <w:gridCol w:w="940"/>
        <w:gridCol w:w="1362"/>
        <w:gridCol w:w="929"/>
        <w:gridCol w:w="1362"/>
        <w:gridCol w:w="918"/>
        <w:gridCol w:w="1362"/>
        <w:tblGridChange w:id="0">
          <w:tblGrid>
            <w:gridCol w:w="3166"/>
            <w:gridCol w:w="1390"/>
            <w:gridCol w:w="1646"/>
            <w:gridCol w:w="919"/>
            <w:gridCol w:w="940"/>
            <w:gridCol w:w="1362"/>
            <w:gridCol w:w="929"/>
            <w:gridCol w:w="1362"/>
            <w:gridCol w:w="918"/>
            <w:gridCol w:w="1362"/>
          </w:tblGrid>
        </w:tblGridChange>
      </w:tblGrid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Edital 01/2021 – ANEXO VII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Proponente: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Projeto:</w:t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e7e6e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PLANO DE DISTRIBUIÇÃO E COMERCIALIZAÇÃO DE PRODUTO CULTURAL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(Descrever quantidades e formas de distribuição dos produtos relativos ao projeto – sejam gratuitos ou comercializáveis)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 do Evento/Produto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Nº de Exemplares/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Ingressos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Quantidade total disponível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Valor Unitário (R$)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Receita Prevista (R$)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Distribuição Gratuita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para a Venda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Preço Normal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Preço Promocional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Venda Normal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Venda Promocional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Patrocinadores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Venda Normal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Venda Promocional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Receita Total Prevista (R$ - venda normal + venda promocional)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Especificações do público a ser beneficiado com a distribuição gratuita: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Goiânia,        de                    de 2021.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10" w:w="16840" w:orient="landscape"/>
      <w:pgMar w:bottom="1701" w:top="1701" w:left="1418" w:right="1418" w:header="176" w:footer="10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 de Cultura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6283960</wp:posOffset>
          </wp:positionH>
          <wp:positionV relativeFrom="paragraph">
            <wp:posOffset>-2086605</wp:posOffset>
          </wp:positionV>
          <wp:extent cx="1708150" cy="301180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Parque Atheneu nº 1.477 – Parque Atheneu – goiânia – CEP 74893-020</w:t>
    </w:r>
  </w:p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Contato: (62) 3596-6700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b="6350" l="0" r="13335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2C41" w:rsidDel="00000000" w:rsidP="007D5554" w:rsidRDefault="006D0F5E" w:rsidRPr="0000000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/>
                              <w:b w:val="1"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