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454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454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39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17"/>
        <w:gridCol w:w="2551"/>
        <w:gridCol w:w="3226"/>
        <w:tblGridChange w:id="0">
          <w:tblGrid>
            <w:gridCol w:w="8217"/>
            <w:gridCol w:w="2551"/>
            <w:gridCol w:w="322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Edital 01/2021 – ANEXO IV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Proponente: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Projeto: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PLANILHA DE ORÇAMENTO FÍSICO – FINANCEIRO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(Descrever todos os recursos previstos para execução do projeto)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Fonte de receita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Valor em 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Lei de Incentivo Municipal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Recurso Próprio do Proponente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Outras leis de incentivo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Patrocínios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Permutas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Doações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Comercialização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Bilheteria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Outras fontes (especificar)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1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Previsão total de receita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4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Previsão total de despesa</w:t>
            </w:r>
          </w:p>
        </w:tc>
      </w:tr>
    </w:tbl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valor desta planilha deve ser igual ao valor do orçamento do projeto previsto (Anexo III)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proponente deverá prestar contas apenas dos recursos oriundos da Lei Municipal de Incentivo à Cultura do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Goiânia,     de                     de 2021.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color w:val="000000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10" w:w="16840" w:orient="landscape"/>
      <w:pgMar w:bottom="1701" w:top="1701" w:left="1418" w:right="1418" w:header="176" w:footer="10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Municipa de Cultura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6283960</wp:posOffset>
          </wp:positionH>
          <wp:positionV relativeFrom="paragraph">
            <wp:posOffset>-2086605</wp:posOffset>
          </wp:positionV>
          <wp:extent cx="1708150" cy="30118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8150" cy="30118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Avenida Parque Atheneu nº 1.477 – Parque Atheneu – goiânia – CEP 74893-020</w:t>
    </w:r>
  </w:p>
  <w:p w:rsidR="00000000" w:rsidDel="00000000" w:rsidP="00000000" w:rsidRDefault="00000000" w:rsidRPr="00000000" w14:paraId="0000004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Contato: (62) 3596-6700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5215890</wp:posOffset>
              </wp:positionH>
              <wp:positionV relativeFrom="topMargin">
                <wp:posOffset>585470</wp:posOffset>
              </wp:positionV>
              <wp:extent cx="1853565" cy="165100"/>
              <wp:effectExtent b="6350" l="0" r="13335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02C41" w:rsidDel="00000000" w:rsidP="007D5554" w:rsidRDefault="00E6659C" w:rsidRPr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libri"/>
                              <w:b w:val="1"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anchorCtr="0" anchor="t" bIns="0" lIns="0" rIns="0" rot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5215890</wp:posOffset>
              </wp:positionH>
              <wp:positionV relativeFrom="topMargin">
                <wp:posOffset>585470</wp:posOffset>
              </wp:positionV>
              <wp:extent cx="1866900" cy="17145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0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-661031</wp:posOffset>
          </wp:positionH>
          <wp:positionV relativeFrom="paragraph">
            <wp:posOffset>10160</wp:posOffset>
          </wp:positionV>
          <wp:extent cx="2456180" cy="1011428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6180" cy="10114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